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4408B" w14:textId="77777777" w:rsidR="00FF787D" w:rsidRPr="00153356" w:rsidRDefault="00FF787D" w:rsidP="00153356">
      <w:pPr>
        <w:pStyle w:val="Ttulo1"/>
        <w:jc w:val="both"/>
        <w:rPr>
          <w:rFonts w:ascii="Cambria" w:hAnsi="Cambria"/>
          <w:b/>
          <w:bCs/>
          <w:color w:val="auto"/>
          <w:sz w:val="28"/>
          <w:szCs w:val="28"/>
        </w:rPr>
      </w:pPr>
      <w:r w:rsidRPr="00153356">
        <w:rPr>
          <w:rFonts w:ascii="Cambria" w:hAnsi="Cambria"/>
          <w:b/>
          <w:bCs/>
          <w:color w:val="auto"/>
          <w:sz w:val="28"/>
          <w:szCs w:val="28"/>
        </w:rPr>
        <w:t>1. INTRODUCCIÓN Y CONTEXTO</w:t>
      </w:r>
    </w:p>
    <w:p w14:paraId="3FFCF60E" w14:textId="470072C7" w:rsidR="00FF787D" w:rsidRPr="00153356" w:rsidRDefault="00FF787D" w:rsidP="00153356">
      <w:pPr>
        <w:jc w:val="both"/>
        <w:rPr>
          <w:rFonts w:ascii="Cambria" w:hAnsi="Cambria"/>
        </w:rPr>
      </w:pPr>
      <w:r w:rsidRPr="00153356">
        <w:rPr>
          <w:rFonts w:ascii="Cambria" w:hAnsi="Cambria"/>
        </w:rPr>
        <w:t>A pesar de la liberalización comercial multilateral y la integración en bloques, persisten barreras que dificultan el comercio. Las Barreras Técnicas al Comercio (OTC) son actualmente el mayor obstáculo para las empresas españolas, tanto en el Mercado Único como con T</w:t>
      </w:r>
      <w:r w:rsidR="004F19A6" w:rsidRPr="00153356">
        <w:rPr>
          <w:rFonts w:ascii="Cambria" w:hAnsi="Cambria"/>
        </w:rPr>
        <w:t>TPP</w:t>
      </w:r>
      <w:r w:rsidRPr="00153356">
        <w:rPr>
          <w:rFonts w:ascii="Cambria" w:hAnsi="Cambria"/>
        </w:rPr>
        <w:t>.</w:t>
      </w:r>
    </w:p>
    <w:p w14:paraId="66783D97" w14:textId="4D7103CD" w:rsidR="00FF787D" w:rsidRPr="00153356" w:rsidRDefault="00FF787D" w:rsidP="00153356">
      <w:pPr>
        <w:jc w:val="both"/>
        <w:rPr>
          <w:rFonts w:ascii="Cambria" w:hAnsi="Cambria"/>
        </w:rPr>
      </w:pPr>
      <w:r w:rsidRPr="00153356">
        <w:rPr>
          <w:rFonts w:ascii="Cambria" w:hAnsi="Cambria"/>
          <w:b/>
          <w:bCs/>
        </w:rPr>
        <w:t>Definición y requisitos de barrera comercial:</w:t>
      </w:r>
      <w:r w:rsidRPr="00153356">
        <w:rPr>
          <w:rFonts w:ascii="Cambria" w:hAnsi="Cambria"/>
        </w:rPr>
        <w:t xml:space="preserve"> acciones o medidas que protegen la producción nacional, dificultan importaciones o estimulan artificialmente exportaciones. Para ser considerada barrera debe cumplir dos requisitos:</w:t>
      </w:r>
    </w:p>
    <w:p w14:paraId="2DDFC723" w14:textId="77777777" w:rsidR="00FF787D" w:rsidRPr="00153356" w:rsidRDefault="00FF787D" w:rsidP="00153356">
      <w:pPr>
        <w:numPr>
          <w:ilvl w:val="0"/>
          <w:numId w:val="1"/>
        </w:numPr>
        <w:ind w:left="1416" w:hanging="1056"/>
        <w:jc w:val="both"/>
        <w:rPr>
          <w:rFonts w:ascii="Cambria" w:hAnsi="Cambria"/>
        </w:rPr>
      </w:pPr>
      <w:r w:rsidRPr="00153356">
        <w:rPr>
          <w:rFonts w:ascii="Cambria" w:hAnsi="Cambria"/>
        </w:rPr>
        <w:t>Derivar de una medida oficial (administración central, regional o local).</w:t>
      </w:r>
    </w:p>
    <w:p w14:paraId="52B1A985" w14:textId="77777777" w:rsidR="004F19A6" w:rsidRPr="00153356" w:rsidRDefault="00FF787D" w:rsidP="00153356">
      <w:pPr>
        <w:numPr>
          <w:ilvl w:val="0"/>
          <w:numId w:val="1"/>
        </w:numPr>
        <w:jc w:val="both"/>
        <w:rPr>
          <w:rFonts w:ascii="Cambria" w:hAnsi="Cambria"/>
        </w:rPr>
      </w:pPr>
      <w:r w:rsidRPr="00153356">
        <w:rPr>
          <w:rFonts w:ascii="Cambria" w:hAnsi="Cambria"/>
        </w:rPr>
        <w:t xml:space="preserve">Suponer una limitación o carga para el libre comercio </w:t>
      </w:r>
    </w:p>
    <w:p w14:paraId="522E23EA" w14:textId="365414E0" w:rsidR="00FF787D" w:rsidRPr="00153356" w:rsidRDefault="00FF787D" w:rsidP="00153356">
      <w:pPr>
        <w:jc w:val="both"/>
        <w:rPr>
          <w:rFonts w:ascii="Cambria" w:hAnsi="Cambria"/>
        </w:rPr>
      </w:pPr>
      <w:r w:rsidRPr="00153356">
        <w:rPr>
          <w:rFonts w:ascii="Cambria" w:hAnsi="Cambria"/>
          <w:b/>
          <w:bCs/>
        </w:rPr>
        <w:t>Clasificación de obstáculos:</w:t>
      </w:r>
    </w:p>
    <w:p w14:paraId="4F24AE22" w14:textId="77777777" w:rsidR="00FF787D" w:rsidRPr="00153356" w:rsidRDefault="00FF787D" w:rsidP="00153356">
      <w:pPr>
        <w:numPr>
          <w:ilvl w:val="0"/>
          <w:numId w:val="2"/>
        </w:numPr>
        <w:jc w:val="both"/>
        <w:rPr>
          <w:rFonts w:ascii="Cambria" w:hAnsi="Cambria"/>
        </w:rPr>
      </w:pPr>
      <w:r w:rsidRPr="00153356">
        <w:rPr>
          <w:rFonts w:ascii="Cambria" w:hAnsi="Cambria"/>
          <w:b/>
          <w:bCs/>
        </w:rPr>
        <w:t>Acuerdos Internacionales (GATT, OCDE):</w:t>
      </w:r>
    </w:p>
    <w:p w14:paraId="4D393E4B" w14:textId="77777777" w:rsidR="00FF787D" w:rsidRPr="00153356" w:rsidRDefault="00FF787D" w:rsidP="00153356">
      <w:pPr>
        <w:numPr>
          <w:ilvl w:val="1"/>
          <w:numId w:val="2"/>
        </w:numPr>
        <w:jc w:val="both"/>
        <w:rPr>
          <w:rFonts w:ascii="Cambria" w:hAnsi="Cambria"/>
        </w:rPr>
      </w:pPr>
      <w:r w:rsidRPr="00153356">
        <w:rPr>
          <w:rFonts w:ascii="Cambria" w:hAnsi="Cambria"/>
          <w:u w:val="single"/>
        </w:rPr>
        <w:t>Arancelarias</w:t>
      </w:r>
      <w:r w:rsidRPr="00153356">
        <w:rPr>
          <w:rFonts w:ascii="Cambria" w:hAnsi="Cambria"/>
          <w:i/>
          <w:iCs/>
        </w:rPr>
        <w:t>:</w:t>
      </w:r>
      <w:r w:rsidRPr="00153356">
        <w:rPr>
          <w:rFonts w:ascii="Cambria" w:hAnsi="Cambria"/>
        </w:rPr>
        <w:t xml:space="preserve"> Derechos de aduana, tasas equivalentes e imposiciones fiscales.</w:t>
      </w:r>
    </w:p>
    <w:p w14:paraId="2817AB53" w14:textId="77777777" w:rsidR="00FF787D" w:rsidRPr="00153356" w:rsidRDefault="00FF787D" w:rsidP="00153356">
      <w:pPr>
        <w:numPr>
          <w:ilvl w:val="1"/>
          <w:numId w:val="2"/>
        </w:numPr>
        <w:jc w:val="both"/>
        <w:rPr>
          <w:rFonts w:ascii="Cambria" w:hAnsi="Cambria"/>
        </w:rPr>
      </w:pPr>
      <w:r w:rsidRPr="00153356">
        <w:rPr>
          <w:rFonts w:ascii="Cambria" w:hAnsi="Cambria"/>
          <w:u w:val="single"/>
        </w:rPr>
        <w:t>No Arancelarias</w:t>
      </w:r>
      <w:r w:rsidRPr="00153356">
        <w:rPr>
          <w:rFonts w:ascii="Cambria" w:hAnsi="Cambria"/>
          <w:i/>
          <w:iCs/>
        </w:rPr>
        <w:t>:</w:t>
      </w:r>
      <w:r w:rsidRPr="00153356">
        <w:rPr>
          <w:rFonts w:ascii="Cambria" w:hAnsi="Cambria"/>
        </w:rPr>
        <w:t xml:space="preserve"> Restricciones cuantitativas (cupos), medidas de efecto equivalente (OTC, normas, homologaciones), controles en frontera, ayudas estatales y monopolios comerciales.</w:t>
      </w:r>
    </w:p>
    <w:p w14:paraId="2F144E18" w14:textId="77777777" w:rsidR="00FF787D" w:rsidRPr="00153356" w:rsidRDefault="00FF787D" w:rsidP="00153356">
      <w:pPr>
        <w:numPr>
          <w:ilvl w:val="0"/>
          <w:numId w:val="2"/>
        </w:numPr>
        <w:jc w:val="both"/>
        <w:rPr>
          <w:rFonts w:ascii="Cambria" w:hAnsi="Cambria"/>
        </w:rPr>
      </w:pPr>
      <w:r w:rsidRPr="00153356">
        <w:rPr>
          <w:rFonts w:ascii="Cambria" w:hAnsi="Cambria"/>
          <w:b/>
          <w:bCs/>
        </w:rPr>
        <w:t>Comisión Europea (Libro Blanco 1985):</w:t>
      </w:r>
    </w:p>
    <w:p w14:paraId="3904B860" w14:textId="77777777" w:rsidR="00FF787D" w:rsidRPr="00153356" w:rsidRDefault="00FF787D" w:rsidP="00153356">
      <w:pPr>
        <w:numPr>
          <w:ilvl w:val="1"/>
          <w:numId w:val="2"/>
        </w:numPr>
        <w:jc w:val="both"/>
        <w:rPr>
          <w:rFonts w:ascii="Cambria" w:hAnsi="Cambria"/>
        </w:rPr>
      </w:pPr>
      <w:r w:rsidRPr="00153356">
        <w:rPr>
          <w:rFonts w:ascii="Cambria" w:hAnsi="Cambria"/>
          <w:u w:val="single"/>
        </w:rPr>
        <w:t>Físicas</w:t>
      </w:r>
      <w:r w:rsidRPr="00153356">
        <w:rPr>
          <w:rFonts w:ascii="Cambria" w:hAnsi="Cambria"/>
          <w:i/>
          <w:iCs/>
        </w:rPr>
        <w:t>:</w:t>
      </w:r>
      <w:r w:rsidRPr="00153356">
        <w:rPr>
          <w:rFonts w:ascii="Cambria" w:hAnsi="Cambria"/>
        </w:rPr>
        <w:t xml:space="preserve"> Controles aduaneros.</w:t>
      </w:r>
    </w:p>
    <w:p w14:paraId="0522038F" w14:textId="77777777" w:rsidR="00FF787D" w:rsidRPr="00153356" w:rsidRDefault="00FF787D" w:rsidP="00153356">
      <w:pPr>
        <w:numPr>
          <w:ilvl w:val="1"/>
          <w:numId w:val="2"/>
        </w:numPr>
        <w:jc w:val="both"/>
        <w:rPr>
          <w:rFonts w:ascii="Cambria" w:hAnsi="Cambria"/>
        </w:rPr>
      </w:pPr>
      <w:r w:rsidRPr="00153356">
        <w:rPr>
          <w:rFonts w:ascii="Cambria" w:hAnsi="Cambria"/>
          <w:u w:val="single"/>
        </w:rPr>
        <w:t>Fiscales</w:t>
      </w:r>
      <w:r w:rsidRPr="00153356">
        <w:rPr>
          <w:rFonts w:ascii="Cambria" w:hAnsi="Cambria"/>
          <w:i/>
          <w:iCs/>
        </w:rPr>
        <w:t>:</w:t>
      </w:r>
      <w:r w:rsidRPr="00153356">
        <w:rPr>
          <w:rFonts w:ascii="Cambria" w:hAnsi="Cambria"/>
        </w:rPr>
        <w:t xml:space="preserve"> Aranceles e impuestos indirectos.</w:t>
      </w:r>
    </w:p>
    <w:p w14:paraId="04EF3FC6" w14:textId="77777777" w:rsidR="00FF787D" w:rsidRPr="00153356" w:rsidRDefault="00FF787D" w:rsidP="00153356">
      <w:pPr>
        <w:numPr>
          <w:ilvl w:val="1"/>
          <w:numId w:val="2"/>
        </w:numPr>
        <w:jc w:val="both"/>
        <w:rPr>
          <w:rFonts w:ascii="Cambria" w:hAnsi="Cambria"/>
        </w:rPr>
      </w:pPr>
      <w:r w:rsidRPr="00153356">
        <w:rPr>
          <w:rFonts w:ascii="Cambria" w:hAnsi="Cambria"/>
          <w:u w:val="single"/>
        </w:rPr>
        <w:t>Técnicas</w:t>
      </w:r>
      <w:r w:rsidRPr="00153356">
        <w:rPr>
          <w:rFonts w:ascii="Cambria" w:hAnsi="Cambria"/>
          <w:i/>
          <w:iCs/>
        </w:rPr>
        <w:t>:</w:t>
      </w:r>
      <w:r w:rsidRPr="00153356">
        <w:rPr>
          <w:rFonts w:ascii="Cambria" w:hAnsi="Cambria"/>
        </w:rPr>
        <w:t xml:space="preserve"> Divergencias normativas, procesos de certificación, etiquetado, etc.</w:t>
      </w:r>
    </w:p>
    <w:p w14:paraId="696E3298" w14:textId="77777777" w:rsidR="00FF787D" w:rsidRPr="00153356" w:rsidRDefault="00FF787D" w:rsidP="00153356">
      <w:pPr>
        <w:jc w:val="both"/>
        <w:rPr>
          <w:rFonts w:ascii="Cambria" w:hAnsi="Cambria"/>
        </w:rPr>
      </w:pPr>
      <w:r w:rsidRPr="00153356">
        <w:rPr>
          <w:rFonts w:ascii="Cambria" w:hAnsi="Cambria"/>
          <w:b/>
          <w:bCs/>
        </w:rPr>
        <w:t>Evolución y Medidas de Armonización:</w:t>
      </w:r>
      <w:r w:rsidRPr="00153356">
        <w:rPr>
          <w:rFonts w:ascii="Cambria" w:hAnsi="Cambria"/>
        </w:rPr>
        <w:t xml:space="preserve"> La reducción de aranceles (GATT) provocó un aumento del intervencionismo administrativo mediante normas técnicas (seguridad, salud, medioambiente). Esto generó diversidad de exigencias, opacidad normativa y abuso de normas como proteccionismo encubierto. Para combatirlo, la UE y la OMC han desarrollado medidas basadas en la </w:t>
      </w:r>
      <w:r w:rsidRPr="00153356">
        <w:rPr>
          <w:rFonts w:ascii="Cambria" w:hAnsi="Cambria"/>
          <w:b/>
          <w:bCs/>
        </w:rPr>
        <w:t>Armonización</w:t>
      </w:r>
      <w:r w:rsidRPr="00153356">
        <w:rPr>
          <w:rFonts w:ascii="Cambria" w:hAnsi="Cambria"/>
        </w:rPr>
        <w:t xml:space="preserve"> y la </w:t>
      </w:r>
      <w:r w:rsidRPr="00153356">
        <w:rPr>
          <w:rFonts w:ascii="Cambria" w:hAnsi="Cambria"/>
          <w:b/>
          <w:bCs/>
        </w:rPr>
        <w:t>Transparencia</w:t>
      </w:r>
      <w:r w:rsidRPr="00153356">
        <w:rPr>
          <w:rFonts w:ascii="Cambria" w:hAnsi="Cambria"/>
        </w:rPr>
        <w:t xml:space="preserve"> (Directiva 2015/1535 en la UE; Acuerdos TBT/SPS en la OMC).</w:t>
      </w:r>
    </w:p>
    <w:p w14:paraId="4397DCBE" w14:textId="77777777" w:rsidR="00FF787D" w:rsidRPr="00153356" w:rsidRDefault="00FF787D" w:rsidP="00153356">
      <w:pPr>
        <w:pStyle w:val="Ttulo1"/>
        <w:jc w:val="both"/>
        <w:rPr>
          <w:rFonts w:ascii="Cambria" w:hAnsi="Cambria"/>
          <w:b/>
          <w:bCs/>
          <w:color w:val="auto"/>
          <w:sz w:val="28"/>
          <w:szCs w:val="28"/>
        </w:rPr>
      </w:pPr>
      <w:r w:rsidRPr="00153356">
        <w:rPr>
          <w:rFonts w:ascii="Cambria" w:hAnsi="Cambria"/>
          <w:b/>
          <w:bCs/>
          <w:color w:val="auto"/>
          <w:sz w:val="28"/>
          <w:szCs w:val="28"/>
        </w:rPr>
        <w:t>2. MEDIDAS DE ARMONIZACIÓN Y TRANSPARENCIA EN LA UE</w:t>
      </w:r>
    </w:p>
    <w:p w14:paraId="33FC319A" w14:textId="77777777" w:rsidR="00FF787D" w:rsidRPr="00153356" w:rsidRDefault="00FF787D" w:rsidP="00153356">
      <w:pPr>
        <w:jc w:val="both"/>
        <w:rPr>
          <w:rFonts w:ascii="Cambria" w:hAnsi="Cambria"/>
        </w:rPr>
      </w:pPr>
      <w:r w:rsidRPr="00153356">
        <w:rPr>
          <w:rFonts w:ascii="Cambria" w:hAnsi="Cambria"/>
        </w:rPr>
        <w:t>La libre circulación de mercancías es un pilar del Mercado Único, que requiere eliminar aranceles, adoptar un Arancel Común y eliminar restricciones cuantitativas y medidas de efecto equivalente.</w:t>
      </w:r>
    </w:p>
    <w:p w14:paraId="6D07ACD8" w14:textId="77777777" w:rsidR="00FF787D" w:rsidRPr="00153356" w:rsidRDefault="00FF787D" w:rsidP="00153356">
      <w:pPr>
        <w:jc w:val="both"/>
        <w:rPr>
          <w:rFonts w:ascii="Cambria" w:hAnsi="Cambria"/>
        </w:rPr>
      </w:pPr>
      <w:r w:rsidRPr="00153356">
        <w:rPr>
          <w:rFonts w:ascii="Cambria" w:hAnsi="Cambria"/>
          <w:b/>
          <w:bCs/>
        </w:rPr>
        <w:lastRenderedPageBreak/>
        <w:t>Estrategia para eliminar barreras técnicas (Libro Blanco 1985):</w:t>
      </w:r>
    </w:p>
    <w:p w14:paraId="5A7EDABF" w14:textId="77777777" w:rsidR="00FF787D" w:rsidRPr="00153356" w:rsidRDefault="00FF787D" w:rsidP="00153356">
      <w:pPr>
        <w:numPr>
          <w:ilvl w:val="0"/>
          <w:numId w:val="3"/>
        </w:numPr>
        <w:jc w:val="both"/>
        <w:rPr>
          <w:rFonts w:ascii="Cambria" w:hAnsi="Cambria"/>
        </w:rPr>
      </w:pPr>
      <w:r w:rsidRPr="00153356">
        <w:rPr>
          <w:rFonts w:ascii="Cambria" w:hAnsi="Cambria"/>
          <w:b/>
          <w:bCs/>
        </w:rPr>
        <w:t>Armonización de reglamentaciones:</w:t>
      </w:r>
      <w:r w:rsidRPr="00153356">
        <w:rPr>
          <w:rFonts w:ascii="Cambria" w:hAnsi="Cambria"/>
        </w:rPr>
        <w:t xml:space="preserve"> Sustituir disposiciones nacionales divergentes por reglas comunes, respetando las excepciones del art. 36 TFUE (salud, seguridad).</w:t>
      </w:r>
    </w:p>
    <w:p w14:paraId="4F9AAA07" w14:textId="77777777" w:rsidR="00FF787D" w:rsidRPr="00153356" w:rsidRDefault="00FF787D" w:rsidP="00153356">
      <w:pPr>
        <w:numPr>
          <w:ilvl w:val="0"/>
          <w:numId w:val="3"/>
        </w:numPr>
        <w:jc w:val="both"/>
        <w:rPr>
          <w:rFonts w:ascii="Cambria" w:hAnsi="Cambria"/>
        </w:rPr>
      </w:pPr>
      <w:r w:rsidRPr="00153356">
        <w:rPr>
          <w:rFonts w:ascii="Cambria" w:hAnsi="Cambria"/>
          <w:b/>
          <w:bCs/>
        </w:rPr>
        <w:t>Nuevo Enfoque (desde 1985):</w:t>
      </w:r>
      <w:r w:rsidRPr="00153356">
        <w:rPr>
          <w:rFonts w:ascii="Cambria" w:hAnsi="Cambria"/>
        </w:rPr>
        <w:t xml:space="preserve"> Armonización legislativa limitándose a requisitos esenciales de seguridad.</w:t>
      </w:r>
    </w:p>
    <w:p w14:paraId="7B79A3CF" w14:textId="77777777" w:rsidR="00FF787D" w:rsidRPr="00153356" w:rsidRDefault="00FF787D" w:rsidP="00153356">
      <w:pPr>
        <w:numPr>
          <w:ilvl w:val="0"/>
          <w:numId w:val="3"/>
        </w:numPr>
        <w:jc w:val="both"/>
        <w:rPr>
          <w:rFonts w:ascii="Cambria" w:hAnsi="Cambria"/>
        </w:rPr>
      </w:pPr>
      <w:r w:rsidRPr="00153356">
        <w:rPr>
          <w:rFonts w:ascii="Cambria" w:hAnsi="Cambria"/>
          <w:b/>
          <w:bCs/>
        </w:rPr>
        <w:t>Normalización europea:</w:t>
      </w:r>
      <w:r w:rsidRPr="00153356">
        <w:rPr>
          <w:rFonts w:ascii="Cambria" w:hAnsi="Cambria"/>
        </w:rPr>
        <w:t xml:space="preserve"> Encargo a organismos como CEN/CENELEC.</w:t>
      </w:r>
    </w:p>
    <w:p w14:paraId="048E312B" w14:textId="77777777" w:rsidR="00FF787D" w:rsidRPr="00153356" w:rsidRDefault="00FF787D" w:rsidP="00153356">
      <w:pPr>
        <w:numPr>
          <w:ilvl w:val="0"/>
          <w:numId w:val="3"/>
        </w:numPr>
        <w:jc w:val="both"/>
        <w:rPr>
          <w:rFonts w:ascii="Cambria" w:hAnsi="Cambria"/>
        </w:rPr>
      </w:pPr>
      <w:r w:rsidRPr="00153356">
        <w:rPr>
          <w:rFonts w:ascii="Cambria" w:hAnsi="Cambria"/>
          <w:b/>
          <w:bCs/>
        </w:rPr>
        <w:t>Reconocimiento Mutuo:</w:t>
      </w:r>
      <w:r w:rsidRPr="00153356">
        <w:rPr>
          <w:rFonts w:ascii="Cambria" w:hAnsi="Cambria"/>
        </w:rPr>
        <w:t xml:space="preserve"> Aceptación de productos legalmente fabricados en otros EEMM si no hay armonización (Doctrina Cassis de Dijon).</w:t>
      </w:r>
    </w:p>
    <w:p w14:paraId="5E00E090" w14:textId="77777777" w:rsidR="00FF787D" w:rsidRPr="00153356" w:rsidRDefault="00FF787D" w:rsidP="00153356">
      <w:pPr>
        <w:numPr>
          <w:ilvl w:val="0"/>
          <w:numId w:val="3"/>
        </w:numPr>
        <w:jc w:val="both"/>
        <w:rPr>
          <w:rFonts w:ascii="Cambria" w:hAnsi="Cambria"/>
        </w:rPr>
      </w:pPr>
      <w:r w:rsidRPr="00153356">
        <w:rPr>
          <w:rFonts w:ascii="Cambria" w:hAnsi="Cambria"/>
          <w:b/>
          <w:bCs/>
        </w:rPr>
        <w:t>Prevención de nuevas barreras:</w:t>
      </w:r>
      <w:r w:rsidRPr="00153356">
        <w:rPr>
          <w:rFonts w:ascii="Cambria" w:hAnsi="Cambria"/>
        </w:rPr>
        <w:t xml:space="preserve"> Mediante procedimientos de notificación previa (Directiva 2015/1535).</w:t>
      </w:r>
    </w:p>
    <w:p w14:paraId="62B3D904" w14:textId="77777777" w:rsidR="00FF787D" w:rsidRPr="00153356" w:rsidRDefault="00FF787D" w:rsidP="00153356">
      <w:pPr>
        <w:numPr>
          <w:ilvl w:val="0"/>
          <w:numId w:val="3"/>
        </w:numPr>
        <w:jc w:val="both"/>
        <w:rPr>
          <w:rFonts w:ascii="Cambria" w:hAnsi="Cambria"/>
        </w:rPr>
      </w:pPr>
      <w:r w:rsidRPr="00153356">
        <w:rPr>
          <w:rFonts w:ascii="Cambria" w:hAnsi="Cambria"/>
          <w:b/>
          <w:bCs/>
        </w:rPr>
        <w:t>Vigilancia:</w:t>
      </w:r>
      <w:r w:rsidRPr="00153356">
        <w:rPr>
          <w:rFonts w:ascii="Cambria" w:hAnsi="Cambria"/>
        </w:rPr>
        <w:t xml:space="preserve"> Control de la Comisión y procedimientos de infracción.</w:t>
      </w:r>
    </w:p>
    <w:p w14:paraId="28994D17" w14:textId="77777777" w:rsidR="00FF787D" w:rsidRPr="00153356" w:rsidRDefault="00FF787D" w:rsidP="00153356">
      <w:pPr>
        <w:pStyle w:val="Ttulo1"/>
        <w:jc w:val="both"/>
        <w:rPr>
          <w:rFonts w:ascii="Cambria" w:hAnsi="Cambria"/>
          <w:b/>
          <w:bCs/>
          <w:color w:val="auto"/>
          <w:sz w:val="28"/>
          <w:szCs w:val="28"/>
        </w:rPr>
      </w:pPr>
      <w:r w:rsidRPr="00153356">
        <w:rPr>
          <w:rFonts w:ascii="Cambria" w:hAnsi="Cambria"/>
          <w:b/>
          <w:bCs/>
          <w:color w:val="auto"/>
          <w:sz w:val="28"/>
          <w:szCs w:val="28"/>
        </w:rPr>
        <w:t>3. DIRECTIVA (UE) 2015/1535 (Procedimiento de Información)</w:t>
      </w:r>
    </w:p>
    <w:p w14:paraId="1C2F2EA5" w14:textId="77777777" w:rsidR="00FF787D" w:rsidRPr="00153356" w:rsidRDefault="00FF787D" w:rsidP="00153356">
      <w:pPr>
        <w:jc w:val="both"/>
        <w:rPr>
          <w:rFonts w:ascii="Cambria" w:hAnsi="Cambria"/>
        </w:rPr>
      </w:pPr>
      <w:r w:rsidRPr="00153356">
        <w:rPr>
          <w:rFonts w:ascii="Cambria" w:hAnsi="Cambria"/>
        </w:rPr>
        <w:t>Esta Directiva deroga a la 98/34/CE (que a su vez derogó a la 83/189/CEE) para codificar y clarificar el sistema de prevención de barreras técnicas.</w:t>
      </w:r>
    </w:p>
    <w:p w14:paraId="591D27C3" w14:textId="77777777" w:rsidR="00FF787D" w:rsidRPr="00153356" w:rsidRDefault="00FF787D" w:rsidP="00153356">
      <w:pPr>
        <w:pStyle w:val="Ttulo2"/>
        <w:jc w:val="both"/>
        <w:rPr>
          <w:rFonts w:ascii="Cambria" w:hAnsi="Cambria"/>
          <w:b/>
          <w:bCs/>
          <w:color w:val="auto"/>
          <w:sz w:val="24"/>
          <w:szCs w:val="24"/>
        </w:rPr>
      </w:pPr>
      <w:r w:rsidRPr="00153356">
        <w:rPr>
          <w:rFonts w:ascii="Cambria" w:hAnsi="Cambria"/>
          <w:b/>
          <w:bCs/>
          <w:color w:val="auto"/>
          <w:sz w:val="24"/>
          <w:szCs w:val="24"/>
        </w:rPr>
        <w:t>3.1. Evolución Normativa</w:t>
      </w:r>
    </w:p>
    <w:p w14:paraId="4E8B4A0B" w14:textId="77777777" w:rsidR="00FF787D" w:rsidRPr="00153356" w:rsidRDefault="00FF787D" w:rsidP="00153356">
      <w:pPr>
        <w:numPr>
          <w:ilvl w:val="0"/>
          <w:numId w:val="4"/>
        </w:numPr>
        <w:jc w:val="both"/>
        <w:rPr>
          <w:rFonts w:ascii="Cambria" w:hAnsi="Cambria"/>
        </w:rPr>
      </w:pPr>
      <w:r w:rsidRPr="00153356">
        <w:rPr>
          <w:rFonts w:ascii="Cambria" w:hAnsi="Cambria"/>
          <w:b/>
          <w:bCs/>
        </w:rPr>
        <w:t>Directiva 83/189/CEE:</w:t>
      </w:r>
      <w:r w:rsidRPr="00153356">
        <w:rPr>
          <w:rFonts w:ascii="Cambria" w:hAnsi="Cambria"/>
        </w:rPr>
        <w:t xml:space="preserve"> Estableció la notificación previa de proyectos de normas y reglamentos técnicos. Fijaba un </w:t>
      </w:r>
      <w:r w:rsidRPr="00153356">
        <w:rPr>
          <w:rFonts w:ascii="Cambria" w:hAnsi="Cambria"/>
          <w:i/>
          <w:iCs/>
        </w:rPr>
        <w:t>statu quo</w:t>
      </w:r>
      <w:r w:rsidRPr="00153356">
        <w:rPr>
          <w:rFonts w:ascii="Cambria" w:hAnsi="Cambria"/>
        </w:rPr>
        <w:t xml:space="preserve"> (espera) de 3 a 12 meses para la aprobación nacional si la Comisión presentaba objeciones o decidía armonizar. Excluía productos agrícolas, alimentos y medicamentos.</w:t>
      </w:r>
    </w:p>
    <w:p w14:paraId="50A4588B" w14:textId="2BBD2FA1" w:rsidR="00FF787D" w:rsidRPr="00153356" w:rsidRDefault="00FF787D" w:rsidP="00153356">
      <w:pPr>
        <w:numPr>
          <w:ilvl w:val="0"/>
          <w:numId w:val="4"/>
        </w:numPr>
        <w:jc w:val="both"/>
        <w:rPr>
          <w:rFonts w:ascii="Cambria" w:hAnsi="Cambria"/>
        </w:rPr>
      </w:pPr>
      <w:r w:rsidRPr="00153356">
        <w:rPr>
          <w:rFonts w:ascii="Cambria" w:hAnsi="Cambria"/>
          <w:b/>
          <w:bCs/>
        </w:rPr>
        <w:t>Modificaciones posteriores:</w:t>
      </w:r>
      <w:r w:rsidRPr="00153356">
        <w:rPr>
          <w:rFonts w:ascii="Cambria" w:hAnsi="Cambria"/>
        </w:rPr>
        <w:t xml:space="preserve"> Ampliaron el ámbito a productos agrícolas, alimentos, medicamentos y procedimientos de evaluación de la conformidad.</w:t>
      </w:r>
    </w:p>
    <w:p w14:paraId="4BE5B073" w14:textId="77777777" w:rsidR="00FF787D" w:rsidRPr="00153356" w:rsidRDefault="00FF787D" w:rsidP="00153356">
      <w:pPr>
        <w:numPr>
          <w:ilvl w:val="0"/>
          <w:numId w:val="4"/>
        </w:numPr>
        <w:jc w:val="both"/>
        <w:rPr>
          <w:rFonts w:ascii="Cambria" w:hAnsi="Cambria"/>
        </w:rPr>
      </w:pPr>
      <w:r w:rsidRPr="00153356">
        <w:rPr>
          <w:rFonts w:ascii="Cambria" w:hAnsi="Cambria"/>
          <w:b/>
          <w:bCs/>
        </w:rPr>
        <w:t>Directiva 98/34/CE:</w:t>
      </w:r>
      <w:r w:rsidRPr="00153356">
        <w:rPr>
          <w:rFonts w:ascii="Cambria" w:hAnsi="Cambria"/>
        </w:rPr>
        <w:t xml:space="preserve"> Consolidó el sistema y extendió el control a los Servicios de la Sociedad de la Información (Directiva 98/48/CE). Creó un Comité Permanente para asistir a la Comisión.</w:t>
      </w:r>
    </w:p>
    <w:p w14:paraId="45AF1174" w14:textId="5DEB98F0" w:rsidR="00FF787D" w:rsidRPr="00153356" w:rsidRDefault="00FF787D" w:rsidP="00153356">
      <w:pPr>
        <w:pStyle w:val="Ttulo2"/>
        <w:jc w:val="both"/>
        <w:rPr>
          <w:rFonts w:ascii="Cambria" w:hAnsi="Cambria"/>
          <w:b/>
          <w:bCs/>
          <w:color w:val="auto"/>
          <w:sz w:val="24"/>
          <w:szCs w:val="24"/>
        </w:rPr>
      </w:pPr>
      <w:r w:rsidRPr="00153356">
        <w:rPr>
          <w:rFonts w:ascii="Cambria" w:hAnsi="Cambria"/>
          <w:b/>
          <w:bCs/>
          <w:color w:val="auto"/>
          <w:sz w:val="24"/>
          <w:szCs w:val="24"/>
        </w:rPr>
        <w:t>3.2. Directiva (UE) 2015/1535</w:t>
      </w:r>
    </w:p>
    <w:p w14:paraId="683D7BA2" w14:textId="77777777" w:rsidR="00FF787D" w:rsidRPr="00153356" w:rsidRDefault="00FF787D" w:rsidP="00153356">
      <w:pPr>
        <w:jc w:val="both"/>
        <w:rPr>
          <w:rFonts w:ascii="Cambria" w:hAnsi="Cambria"/>
        </w:rPr>
      </w:pPr>
      <w:r w:rsidRPr="00153356">
        <w:rPr>
          <w:rFonts w:ascii="Cambria" w:hAnsi="Cambria"/>
        </w:rPr>
        <w:t>Establece un procedimiento de información para reglamentaciones técnicas y reglas de servicios de la sociedad de la información antes de su adopción.</w:t>
      </w:r>
    </w:p>
    <w:p w14:paraId="19BCF6A8" w14:textId="77777777" w:rsidR="00FF787D" w:rsidRPr="00153356" w:rsidRDefault="00FF787D" w:rsidP="00153356">
      <w:pPr>
        <w:jc w:val="both"/>
        <w:rPr>
          <w:rFonts w:ascii="Cambria" w:hAnsi="Cambria"/>
        </w:rPr>
      </w:pPr>
      <w:r w:rsidRPr="00153356">
        <w:rPr>
          <w:rFonts w:ascii="Cambria" w:hAnsi="Cambria"/>
          <w:b/>
          <w:bCs/>
        </w:rPr>
        <w:t>Objetivos y Ventajas:</w:t>
      </w:r>
    </w:p>
    <w:p w14:paraId="014F47BA" w14:textId="77777777" w:rsidR="00FF787D" w:rsidRPr="00153356" w:rsidRDefault="00FF787D" w:rsidP="00153356">
      <w:pPr>
        <w:numPr>
          <w:ilvl w:val="0"/>
          <w:numId w:val="5"/>
        </w:numPr>
        <w:jc w:val="both"/>
        <w:rPr>
          <w:rFonts w:ascii="Cambria" w:hAnsi="Cambria"/>
        </w:rPr>
      </w:pPr>
      <w:r w:rsidRPr="00153356">
        <w:rPr>
          <w:rFonts w:ascii="Cambria" w:hAnsi="Cambria"/>
        </w:rPr>
        <w:t>Garantizar la transparencia y evitar proteccionismo.</w:t>
      </w:r>
    </w:p>
    <w:p w14:paraId="597F62FD" w14:textId="77777777" w:rsidR="00FF787D" w:rsidRPr="00153356" w:rsidRDefault="00FF787D" w:rsidP="00153356">
      <w:pPr>
        <w:numPr>
          <w:ilvl w:val="0"/>
          <w:numId w:val="5"/>
        </w:numPr>
        <w:jc w:val="both"/>
        <w:rPr>
          <w:rFonts w:ascii="Cambria" w:hAnsi="Cambria"/>
        </w:rPr>
      </w:pPr>
      <w:r w:rsidRPr="00153356">
        <w:rPr>
          <w:rFonts w:ascii="Cambria" w:hAnsi="Cambria"/>
        </w:rPr>
        <w:t>Identificar barreras antes de que surjan y verificar compatibilidad con el Derecho UE.</w:t>
      </w:r>
    </w:p>
    <w:p w14:paraId="07057B80" w14:textId="77777777" w:rsidR="00FF787D" w:rsidRPr="00153356" w:rsidRDefault="00FF787D" w:rsidP="00153356">
      <w:pPr>
        <w:numPr>
          <w:ilvl w:val="0"/>
          <w:numId w:val="5"/>
        </w:numPr>
        <w:jc w:val="both"/>
        <w:rPr>
          <w:rFonts w:ascii="Cambria" w:hAnsi="Cambria"/>
        </w:rPr>
      </w:pPr>
      <w:r w:rsidRPr="00153356">
        <w:rPr>
          <w:rFonts w:ascii="Cambria" w:hAnsi="Cambria"/>
        </w:rPr>
        <w:lastRenderedPageBreak/>
        <w:t>Permitir a los operadores económicos adaptar sus actividades con antelación.</w:t>
      </w:r>
    </w:p>
    <w:p w14:paraId="785F988A" w14:textId="77777777" w:rsidR="00FF787D" w:rsidRPr="00153356" w:rsidRDefault="00FF787D" w:rsidP="00153356">
      <w:pPr>
        <w:numPr>
          <w:ilvl w:val="0"/>
          <w:numId w:val="5"/>
        </w:numPr>
        <w:jc w:val="both"/>
        <w:rPr>
          <w:rFonts w:ascii="Cambria" w:hAnsi="Cambria"/>
        </w:rPr>
      </w:pPr>
      <w:r w:rsidRPr="00153356">
        <w:rPr>
          <w:rFonts w:ascii="Cambria" w:hAnsi="Cambria"/>
        </w:rPr>
        <w:t>Fomentar el diálogo entre la Comisión y los EEMM.</w:t>
      </w:r>
    </w:p>
    <w:p w14:paraId="066BEB6F" w14:textId="77777777" w:rsidR="00FF787D" w:rsidRPr="00153356" w:rsidRDefault="00FF787D" w:rsidP="00153356">
      <w:pPr>
        <w:jc w:val="both"/>
        <w:rPr>
          <w:rFonts w:ascii="Cambria" w:hAnsi="Cambria"/>
        </w:rPr>
      </w:pPr>
      <w:r w:rsidRPr="00153356">
        <w:rPr>
          <w:rFonts w:ascii="Cambria" w:hAnsi="Cambria"/>
          <w:b/>
          <w:bCs/>
        </w:rPr>
        <w:t>Funcionamiento del Procedimiento:</w:t>
      </w:r>
    </w:p>
    <w:p w14:paraId="7533BA31" w14:textId="77777777" w:rsidR="00FF787D" w:rsidRPr="00153356" w:rsidRDefault="00FF787D" w:rsidP="00153356">
      <w:pPr>
        <w:numPr>
          <w:ilvl w:val="0"/>
          <w:numId w:val="6"/>
        </w:numPr>
        <w:jc w:val="both"/>
        <w:rPr>
          <w:rFonts w:ascii="Cambria" w:hAnsi="Cambria"/>
        </w:rPr>
      </w:pPr>
      <w:r w:rsidRPr="00153356">
        <w:rPr>
          <w:rFonts w:ascii="Cambria" w:hAnsi="Cambria"/>
          <w:b/>
          <w:bCs/>
        </w:rPr>
        <w:t>Notificación:</w:t>
      </w:r>
      <w:r w:rsidRPr="00153356">
        <w:rPr>
          <w:rFonts w:ascii="Cambria" w:hAnsi="Cambria"/>
        </w:rPr>
        <w:t xml:space="preserve"> Los EEMM deben comunicar a la Comisión todo proyecto de reglamento técnico (salvo que transponga una norma internacional/europea íntegra).</w:t>
      </w:r>
    </w:p>
    <w:p w14:paraId="5C7AE4D5" w14:textId="77777777" w:rsidR="00FF787D" w:rsidRPr="00153356" w:rsidRDefault="00FF787D" w:rsidP="00153356">
      <w:pPr>
        <w:numPr>
          <w:ilvl w:val="0"/>
          <w:numId w:val="6"/>
        </w:numPr>
        <w:jc w:val="both"/>
        <w:rPr>
          <w:rFonts w:ascii="Cambria" w:hAnsi="Cambria"/>
        </w:rPr>
      </w:pPr>
      <w:r w:rsidRPr="00153356">
        <w:rPr>
          <w:rFonts w:ascii="Cambria" w:hAnsi="Cambria"/>
          <w:b/>
          <w:bCs/>
        </w:rPr>
        <w:t xml:space="preserve">Periodo de </w:t>
      </w:r>
      <w:r w:rsidRPr="00153356">
        <w:rPr>
          <w:rFonts w:ascii="Cambria" w:hAnsi="Cambria"/>
          <w:b/>
          <w:bCs/>
          <w:i/>
          <w:iCs/>
        </w:rPr>
        <w:t>Statu Quo</w:t>
      </w:r>
      <w:r w:rsidRPr="00153356">
        <w:rPr>
          <w:rFonts w:ascii="Cambria" w:hAnsi="Cambria"/>
          <w:b/>
          <w:bCs/>
        </w:rPr>
        <w:t>:</w:t>
      </w:r>
    </w:p>
    <w:p w14:paraId="71A9A31B" w14:textId="77777777" w:rsidR="00FF787D" w:rsidRPr="00153356" w:rsidRDefault="00FF787D" w:rsidP="00153356">
      <w:pPr>
        <w:numPr>
          <w:ilvl w:val="1"/>
          <w:numId w:val="6"/>
        </w:numPr>
        <w:jc w:val="both"/>
        <w:rPr>
          <w:rFonts w:ascii="Cambria" w:hAnsi="Cambria"/>
        </w:rPr>
      </w:pPr>
      <w:r w:rsidRPr="00153356">
        <w:rPr>
          <w:rFonts w:ascii="Cambria" w:hAnsi="Cambria"/>
          <w:b/>
          <w:bCs/>
        </w:rPr>
        <w:t>3 meses (inicial):</w:t>
      </w:r>
      <w:r w:rsidRPr="00153356">
        <w:rPr>
          <w:rFonts w:ascii="Cambria" w:hAnsi="Cambria"/>
        </w:rPr>
        <w:t xml:space="preserve"> El Estado no puede aprobar la norma. La Comisión y otros EEMM la analizan.</w:t>
      </w:r>
    </w:p>
    <w:p w14:paraId="13E339F3" w14:textId="77777777" w:rsidR="00FF787D" w:rsidRPr="00153356" w:rsidRDefault="00FF787D" w:rsidP="00153356">
      <w:pPr>
        <w:numPr>
          <w:ilvl w:val="1"/>
          <w:numId w:val="6"/>
        </w:numPr>
        <w:jc w:val="both"/>
        <w:rPr>
          <w:rFonts w:ascii="Cambria" w:hAnsi="Cambria"/>
        </w:rPr>
      </w:pPr>
      <w:r w:rsidRPr="00153356">
        <w:rPr>
          <w:rFonts w:ascii="Cambria" w:hAnsi="Cambria"/>
          <w:b/>
          <w:bCs/>
        </w:rPr>
        <w:t>Prórroga a 4 o 6 meses:</w:t>
      </w:r>
      <w:r w:rsidRPr="00153356">
        <w:rPr>
          <w:rFonts w:ascii="Cambria" w:hAnsi="Cambria"/>
        </w:rPr>
        <w:t xml:space="preserve"> Si la Comisión o un EM emiten un </w:t>
      </w:r>
      <w:r w:rsidRPr="00153356">
        <w:rPr>
          <w:rFonts w:ascii="Cambria" w:hAnsi="Cambria"/>
          <w:b/>
          <w:bCs/>
        </w:rPr>
        <w:t>dictamen motivado</w:t>
      </w:r>
      <w:r w:rsidRPr="00153356">
        <w:rPr>
          <w:rFonts w:ascii="Cambria" w:hAnsi="Cambria"/>
        </w:rPr>
        <w:t xml:space="preserve"> advirtiendo de una posible barrera.</w:t>
      </w:r>
    </w:p>
    <w:p w14:paraId="0F32CB90" w14:textId="77777777" w:rsidR="00FF787D" w:rsidRPr="00153356" w:rsidRDefault="00FF787D" w:rsidP="00153356">
      <w:pPr>
        <w:numPr>
          <w:ilvl w:val="1"/>
          <w:numId w:val="6"/>
        </w:numPr>
        <w:jc w:val="both"/>
        <w:rPr>
          <w:rFonts w:ascii="Cambria" w:hAnsi="Cambria"/>
        </w:rPr>
      </w:pPr>
      <w:r w:rsidRPr="00153356">
        <w:rPr>
          <w:rFonts w:ascii="Cambria" w:hAnsi="Cambria"/>
          <w:b/>
          <w:bCs/>
        </w:rPr>
        <w:t>Prórroga a 12 o 18 meses:</w:t>
      </w:r>
      <w:r w:rsidRPr="00153356">
        <w:rPr>
          <w:rFonts w:ascii="Cambria" w:hAnsi="Cambria"/>
        </w:rPr>
        <w:t xml:space="preserve"> Si la Comisión anuncia su intención de legislar sobre la materia a nivel europeo (bloqueo de la iniciativa nacional).</w:t>
      </w:r>
    </w:p>
    <w:p w14:paraId="2AB81434" w14:textId="77777777" w:rsidR="00FF787D" w:rsidRPr="00153356" w:rsidRDefault="00FF787D" w:rsidP="00153356">
      <w:pPr>
        <w:numPr>
          <w:ilvl w:val="0"/>
          <w:numId w:val="6"/>
        </w:numPr>
        <w:jc w:val="both"/>
        <w:rPr>
          <w:rFonts w:ascii="Cambria" w:hAnsi="Cambria"/>
        </w:rPr>
      </w:pPr>
      <w:r w:rsidRPr="00153356">
        <w:rPr>
          <w:rFonts w:ascii="Cambria" w:hAnsi="Cambria"/>
          <w:b/>
          <w:bCs/>
        </w:rPr>
        <w:t>Excepción de Urgencia:</w:t>
      </w:r>
      <w:r w:rsidRPr="00153356">
        <w:rPr>
          <w:rFonts w:ascii="Cambria" w:hAnsi="Cambria"/>
        </w:rPr>
        <w:t xml:space="preserve"> Se permite la aprobación inmediata por razones graves e imprevisibles (salud, seguridad), que deben justificarse y son revisadas posteriormente por la Comisión.</w:t>
      </w:r>
    </w:p>
    <w:p w14:paraId="72EBCDE7" w14:textId="77777777" w:rsidR="00FF787D" w:rsidRPr="00153356" w:rsidRDefault="00FF787D" w:rsidP="00153356">
      <w:pPr>
        <w:numPr>
          <w:ilvl w:val="0"/>
          <w:numId w:val="6"/>
        </w:numPr>
        <w:jc w:val="both"/>
        <w:rPr>
          <w:rFonts w:ascii="Cambria" w:hAnsi="Cambria"/>
        </w:rPr>
      </w:pPr>
      <w:r w:rsidRPr="00153356">
        <w:rPr>
          <w:rFonts w:ascii="Cambria" w:hAnsi="Cambria"/>
          <w:b/>
          <w:bCs/>
        </w:rPr>
        <w:t>Transparencia:</w:t>
      </w:r>
      <w:r w:rsidRPr="00153356">
        <w:rPr>
          <w:rFonts w:ascii="Cambria" w:hAnsi="Cambria"/>
        </w:rPr>
        <w:t xml:space="preserve"> Los proyectos son públicos y permiten la participación de los operadores económicos.</w:t>
      </w:r>
    </w:p>
    <w:p w14:paraId="5B470DE7" w14:textId="77777777" w:rsidR="00FF787D" w:rsidRPr="00153356" w:rsidRDefault="00FF787D" w:rsidP="00153356">
      <w:pPr>
        <w:jc w:val="both"/>
        <w:rPr>
          <w:rFonts w:ascii="Cambria" w:hAnsi="Cambria"/>
        </w:rPr>
      </w:pPr>
      <w:r w:rsidRPr="00153356">
        <w:rPr>
          <w:rFonts w:ascii="Cambria" w:hAnsi="Cambria"/>
          <w:b/>
          <w:bCs/>
        </w:rPr>
        <w:t>Gestión en España:</w:t>
      </w:r>
      <w:r w:rsidRPr="00153356">
        <w:rPr>
          <w:rFonts w:ascii="Cambria" w:hAnsi="Cambria"/>
        </w:rPr>
        <w:t xml:space="preserve"> Los Ministerios competentes elaboran los reglamentos y el Ministerio de Asuntos Exteriores realiza la comunicación formal a la Comisión. Existe un grupo de trabajo en la CIOA (Comisión Interministerial para la Ordenación Alimentaria) con participación del SOIVRE para analizar notificaciones de otros países.</w:t>
      </w:r>
    </w:p>
    <w:p w14:paraId="4FED41D7" w14:textId="77777777" w:rsidR="00FF787D" w:rsidRPr="00153356" w:rsidRDefault="00FF787D" w:rsidP="00153356">
      <w:pPr>
        <w:jc w:val="both"/>
        <w:rPr>
          <w:rFonts w:ascii="Cambria" w:hAnsi="Cambria"/>
          <w:b/>
          <w:bCs/>
        </w:rPr>
      </w:pPr>
      <w:r w:rsidRPr="00153356">
        <w:rPr>
          <w:rFonts w:ascii="Cambria" w:hAnsi="Cambria"/>
          <w:b/>
          <w:bCs/>
        </w:rPr>
        <w:t>4. PROCEDIMIENTOS DE RESOLUCIÓN DE OBSTÁCULOS (MERCADO INTERIOR)</w:t>
      </w:r>
    </w:p>
    <w:p w14:paraId="5C03B6A9" w14:textId="554EAB8C" w:rsidR="00FF787D" w:rsidRPr="00153356" w:rsidRDefault="00FF787D" w:rsidP="00153356">
      <w:pPr>
        <w:jc w:val="both"/>
        <w:rPr>
          <w:rFonts w:ascii="Cambria" w:hAnsi="Cambria"/>
        </w:rPr>
      </w:pPr>
      <w:r w:rsidRPr="00153356">
        <w:rPr>
          <w:rFonts w:ascii="Cambria" w:hAnsi="Cambria"/>
        </w:rPr>
        <w:t>El Mercado Único requiere vigilancia constante. La Comisión actúa como Guardiana de los Tratados</w:t>
      </w:r>
      <w:r w:rsidR="004F19A6" w:rsidRPr="00153356">
        <w:rPr>
          <w:rFonts w:ascii="Cambria" w:hAnsi="Cambria"/>
        </w:rPr>
        <w:t xml:space="preserve"> </w:t>
      </w:r>
      <w:r w:rsidRPr="00153356">
        <w:rPr>
          <w:rFonts w:ascii="Cambria" w:hAnsi="Cambria"/>
        </w:rPr>
        <w:t>(Arts. 258 y 260 TFUE).</w:t>
      </w:r>
    </w:p>
    <w:p w14:paraId="15835E45" w14:textId="77777777" w:rsidR="00FF787D" w:rsidRPr="00153356" w:rsidRDefault="00FF787D" w:rsidP="00153356">
      <w:pPr>
        <w:pStyle w:val="Ttulo2"/>
        <w:jc w:val="both"/>
        <w:rPr>
          <w:rFonts w:ascii="Cambria" w:hAnsi="Cambria"/>
          <w:b/>
          <w:bCs/>
          <w:color w:val="auto"/>
          <w:sz w:val="24"/>
          <w:szCs w:val="24"/>
        </w:rPr>
      </w:pPr>
      <w:r w:rsidRPr="00153356">
        <w:rPr>
          <w:rFonts w:ascii="Cambria" w:hAnsi="Cambria"/>
          <w:b/>
          <w:bCs/>
          <w:color w:val="auto"/>
          <w:sz w:val="24"/>
          <w:szCs w:val="24"/>
        </w:rPr>
        <w:t>4.1. El Procedimiento de Infracción</w:t>
      </w:r>
    </w:p>
    <w:p w14:paraId="6BC42D9E" w14:textId="77777777" w:rsidR="00FF787D" w:rsidRPr="00153356" w:rsidRDefault="00FF787D" w:rsidP="00153356">
      <w:pPr>
        <w:jc w:val="both"/>
        <w:rPr>
          <w:rFonts w:ascii="Cambria" w:hAnsi="Cambria"/>
        </w:rPr>
      </w:pPr>
      <w:r w:rsidRPr="00153356">
        <w:rPr>
          <w:rFonts w:ascii="Cambria" w:hAnsi="Cambria"/>
        </w:rPr>
        <w:t>Es la vía formal para sancionar incumplimientos del Derecho de la UE por parte de los EEMM. La Comisión es la única legitimada para iniciarlo, actuando de oficio o por denuncia.</w:t>
      </w:r>
    </w:p>
    <w:p w14:paraId="6016FB36" w14:textId="77777777" w:rsidR="00FF787D" w:rsidRPr="00153356" w:rsidRDefault="00FF787D" w:rsidP="00153356">
      <w:pPr>
        <w:jc w:val="both"/>
        <w:rPr>
          <w:rFonts w:ascii="Cambria" w:hAnsi="Cambria"/>
        </w:rPr>
      </w:pPr>
      <w:r w:rsidRPr="00153356">
        <w:rPr>
          <w:rFonts w:ascii="Cambria" w:hAnsi="Cambria"/>
          <w:b/>
          <w:bCs/>
        </w:rPr>
        <w:t>Fases del Procedimiento:</w:t>
      </w:r>
    </w:p>
    <w:p w14:paraId="6CB02759" w14:textId="77777777" w:rsidR="00FF787D" w:rsidRPr="00153356" w:rsidRDefault="00FF787D" w:rsidP="00153356">
      <w:pPr>
        <w:numPr>
          <w:ilvl w:val="0"/>
          <w:numId w:val="7"/>
        </w:numPr>
        <w:jc w:val="both"/>
        <w:rPr>
          <w:rFonts w:ascii="Cambria" w:hAnsi="Cambria"/>
        </w:rPr>
      </w:pPr>
      <w:r w:rsidRPr="00153356">
        <w:rPr>
          <w:rFonts w:ascii="Cambria" w:hAnsi="Cambria"/>
          <w:b/>
          <w:bCs/>
        </w:rPr>
        <w:lastRenderedPageBreak/>
        <w:t>Denuncia / Queja:</w:t>
      </w:r>
      <w:r w:rsidRPr="00153356">
        <w:rPr>
          <w:rFonts w:ascii="Cambria" w:hAnsi="Cambria"/>
        </w:rPr>
        <w:t xml:space="preserve"> Puede presentarla cualquier persona física o jurídica (ciudadanos, empresas, asociaciones). Debe ser por escrito e identificar al Estado infractor.</w:t>
      </w:r>
    </w:p>
    <w:p w14:paraId="3CE26E47" w14:textId="77777777" w:rsidR="00FF787D" w:rsidRPr="00153356" w:rsidRDefault="00FF787D" w:rsidP="00153356">
      <w:pPr>
        <w:numPr>
          <w:ilvl w:val="0"/>
          <w:numId w:val="7"/>
        </w:numPr>
        <w:jc w:val="both"/>
        <w:rPr>
          <w:rFonts w:ascii="Cambria" w:hAnsi="Cambria"/>
        </w:rPr>
      </w:pPr>
      <w:r w:rsidRPr="00153356">
        <w:rPr>
          <w:rFonts w:ascii="Cambria" w:hAnsi="Cambria"/>
          <w:b/>
          <w:bCs/>
        </w:rPr>
        <w:t xml:space="preserve">Fase </w:t>
      </w:r>
      <w:proofErr w:type="spellStart"/>
      <w:r w:rsidRPr="00153356">
        <w:rPr>
          <w:rFonts w:ascii="Cambria" w:hAnsi="Cambria"/>
          <w:b/>
          <w:bCs/>
        </w:rPr>
        <w:t>Pre-contenciosa</w:t>
      </w:r>
      <w:proofErr w:type="spellEnd"/>
      <w:r w:rsidRPr="00153356">
        <w:rPr>
          <w:rFonts w:ascii="Cambria" w:hAnsi="Cambria"/>
          <w:b/>
          <w:bCs/>
        </w:rPr>
        <w:t xml:space="preserve"> (Administrativa):</w:t>
      </w:r>
    </w:p>
    <w:p w14:paraId="55AD77D4" w14:textId="75E294CD" w:rsidR="00FF787D" w:rsidRPr="00153356" w:rsidRDefault="00FF787D" w:rsidP="00153356">
      <w:pPr>
        <w:numPr>
          <w:ilvl w:val="1"/>
          <w:numId w:val="7"/>
        </w:numPr>
        <w:jc w:val="both"/>
        <w:rPr>
          <w:rFonts w:ascii="Cambria" w:hAnsi="Cambria"/>
        </w:rPr>
      </w:pPr>
      <w:r w:rsidRPr="00153356">
        <w:rPr>
          <w:rFonts w:ascii="Cambria" w:hAnsi="Cambria"/>
          <w:b/>
          <w:bCs/>
        </w:rPr>
        <w:t>Investigación prelimina</w:t>
      </w:r>
      <w:r w:rsidR="004F19A6" w:rsidRPr="00153356">
        <w:rPr>
          <w:rFonts w:ascii="Cambria" w:hAnsi="Cambria"/>
          <w:b/>
          <w:bCs/>
        </w:rPr>
        <w:t>r</w:t>
      </w:r>
      <w:r w:rsidRPr="00153356">
        <w:rPr>
          <w:rFonts w:ascii="Cambria" w:hAnsi="Cambria"/>
          <w:b/>
          <w:bCs/>
        </w:rPr>
        <w:t>:</w:t>
      </w:r>
      <w:r w:rsidRPr="00153356">
        <w:rPr>
          <w:rFonts w:ascii="Cambria" w:hAnsi="Cambria"/>
        </w:rPr>
        <w:t xml:space="preserve"> Diálogo informal para resolver el problema rápidamente.</w:t>
      </w:r>
    </w:p>
    <w:p w14:paraId="7ADAD847" w14:textId="05D4CF00" w:rsidR="00FF787D" w:rsidRPr="00153356" w:rsidRDefault="00FF787D" w:rsidP="00153356">
      <w:pPr>
        <w:numPr>
          <w:ilvl w:val="1"/>
          <w:numId w:val="7"/>
        </w:numPr>
        <w:jc w:val="both"/>
        <w:rPr>
          <w:rFonts w:ascii="Cambria" w:hAnsi="Cambria"/>
        </w:rPr>
      </w:pPr>
      <w:r w:rsidRPr="00153356">
        <w:rPr>
          <w:rFonts w:ascii="Cambria" w:hAnsi="Cambria"/>
          <w:b/>
          <w:bCs/>
        </w:rPr>
        <w:t>Carta de Emplazamiento:</w:t>
      </w:r>
      <w:r w:rsidRPr="00153356">
        <w:rPr>
          <w:rFonts w:ascii="Cambria" w:hAnsi="Cambria"/>
        </w:rPr>
        <w:t xml:space="preserve"> Demanda formal de información. El Estado debe justificar su actuación en un plazo fijado.</w:t>
      </w:r>
    </w:p>
    <w:p w14:paraId="38A81AF2" w14:textId="77777777" w:rsidR="00FF787D" w:rsidRPr="00153356" w:rsidRDefault="00FF787D" w:rsidP="00153356">
      <w:pPr>
        <w:numPr>
          <w:ilvl w:val="1"/>
          <w:numId w:val="7"/>
        </w:numPr>
        <w:jc w:val="both"/>
        <w:rPr>
          <w:rFonts w:ascii="Cambria" w:hAnsi="Cambria"/>
        </w:rPr>
      </w:pPr>
      <w:r w:rsidRPr="00153356">
        <w:rPr>
          <w:rFonts w:ascii="Cambria" w:hAnsi="Cambria"/>
          <w:b/>
          <w:bCs/>
        </w:rPr>
        <w:t>Dictamen Motivado:</w:t>
      </w:r>
      <w:r w:rsidRPr="00153356">
        <w:rPr>
          <w:rFonts w:ascii="Cambria" w:hAnsi="Cambria"/>
        </w:rPr>
        <w:t xml:space="preserve"> Si el Estado no contesta o no convence, la Comisión expone formalmente la violación del Tratado y exige medidas correctoras en un plazo determinado.</w:t>
      </w:r>
    </w:p>
    <w:p w14:paraId="241E9932" w14:textId="77777777" w:rsidR="00FF787D" w:rsidRPr="00153356" w:rsidRDefault="00FF787D" w:rsidP="00153356">
      <w:pPr>
        <w:numPr>
          <w:ilvl w:val="0"/>
          <w:numId w:val="7"/>
        </w:numPr>
        <w:jc w:val="both"/>
        <w:rPr>
          <w:rFonts w:ascii="Cambria" w:hAnsi="Cambria"/>
        </w:rPr>
      </w:pPr>
      <w:r w:rsidRPr="00153356">
        <w:rPr>
          <w:rFonts w:ascii="Cambria" w:hAnsi="Cambria"/>
          <w:b/>
          <w:bCs/>
        </w:rPr>
        <w:t>Fase Contenciosa (Judicial):</w:t>
      </w:r>
    </w:p>
    <w:p w14:paraId="44E7E07D" w14:textId="77777777" w:rsidR="00FF787D" w:rsidRPr="00153356" w:rsidRDefault="00FF787D" w:rsidP="00153356">
      <w:pPr>
        <w:numPr>
          <w:ilvl w:val="1"/>
          <w:numId w:val="7"/>
        </w:numPr>
        <w:jc w:val="both"/>
        <w:rPr>
          <w:rFonts w:ascii="Cambria" w:hAnsi="Cambria"/>
        </w:rPr>
      </w:pPr>
      <w:r w:rsidRPr="00153356">
        <w:rPr>
          <w:rFonts w:ascii="Cambria" w:hAnsi="Cambria"/>
        </w:rPr>
        <w:t>Si el Estado no cumple el Dictamen Motivado, la Comisión demanda ante el Tribunal de Justicia de la UE (TJUE).</w:t>
      </w:r>
    </w:p>
    <w:p w14:paraId="0E9C06A3" w14:textId="77777777" w:rsidR="00FF787D" w:rsidRPr="00153356" w:rsidRDefault="00FF787D" w:rsidP="00153356">
      <w:pPr>
        <w:numPr>
          <w:ilvl w:val="1"/>
          <w:numId w:val="7"/>
        </w:numPr>
        <w:jc w:val="both"/>
        <w:rPr>
          <w:rFonts w:ascii="Cambria" w:hAnsi="Cambria"/>
        </w:rPr>
      </w:pPr>
      <w:r w:rsidRPr="00153356">
        <w:rPr>
          <w:rFonts w:ascii="Cambria" w:hAnsi="Cambria"/>
        </w:rPr>
        <w:t>La sentencia del TJUE es vinculante. Si el Estado no la ejecuta, se puede iniciar un nuevo procedimiento para imponer multas coercitivas (Art. 260 TFUE).</w:t>
      </w:r>
    </w:p>
    <w:p w14:paraId="12B74BEC" w14:textId="77777777" w:rsidR="00FF787D" w:rsidRPr="00153356" w:rsidRDefault="00FF787D" w:rsidP="00153356">
      <w:pPr>
        <w:jc w:val="both"/>
        <w:rPr>
          <w:rFonts w:ascii="Cambria" w:hAnsi="Cambria"/>
        </w:rPr>
      </w:pPr>
      <w:r w:rsidRPr="00153356">
        <w:rPr>
          <w:rFonts w:ascii="Cambria" w:hAnsi="Cambria"/>
          <w:b/>
          <w:bCs/>
        </w:rPr>
        <w:t>Recurso de Urgencia:</w:t>
      </w:r>
      <w:r w:rsidRPr="00153356">
        <w:rPr>
          <w:rFonts w:ascii="Cambria" w:hAnsi="Cambria"/>
        </w:rPr>
        <w:t xml:space="preserve"> Posibilidad de solicitar al Tribunal medidas cautelares si existe riesgo de daño irreparable antes de la sentencia.</w:t>
      </w:r>
    </w:p>
    <w:p w14:paraId="1CE852C3" w14:textId="77777777" w:rsidR="00FF787D" w:rsidRPr="00153356" w:rsidRDefault="00FF787D" w:rsidP="00153356">
      <w:pPr>
        <w:pStyle w:val="Ttulo2"/>
        <w:jc w:val="both"/>
        <w:rPr>
          <w:rFonts w:ascii="Cambria" w:hAnsi="Cambria"/>
          <w:b/>
          <w:bCs/>
          <w:color w:val="auto"/>
          <w:sz w:val="24"/>
          <w:szCs w:val="24"/>
        </w:rPr>
      </w:pPr>
      <w:r w:rsidRPr="00153356">
        <w:rPr>
          <w:rFonts w:ascii="Cambria" w:hAnsi="Cambria"/>
          <w:b/>
          <w:bCs/>
          <w:color w:val="auto"/>
          <w:sz w:val="24"/>
          <w:szCs w:val="24"/>
        </w:rPr>
        <w:t>4.2. Mecanismos de Resolución Alternativa y Apoyo</w:t>
      </w:r>
    </w:p>
    <w:p w14:paraId="17BBB4E5" w14:textId="77777777" w:rsidR="00FF787D" w:rsidRPr="00153356" w:rsidRDefault="00FF787D" w:rsidP="00153356">
      <w:pPr>
        <w:jc w:val="both"/>
        <w:rPr>
          <w:rFonts w:ascii="Cambria" w:hAnsi="Cambria"/>
        </w:rPr>
      </w:pPr>
      <w:r w:rsidRPr="00153356">
        <w:rPr>
          <w:rFonts w:ascii="Cambria" w:hAnsi="Cambria"/>
        </w:rPr>
        <w:t>Ante la lentitud de la vía judicial, se han desarrollado herramientas prácticas:</w:t>
      </w:r>
    </w:p>
    <w:p w14:paraId="1717758F" w14:textId="2AF5B15B" w:rsidR="00FF787D" w:rsidRPr="00153356" w:rsidRDefault="00FF787D" w:rsidP="00153356">
      <w:pPr>
        <w:numPr>
          <w:ilvl w:val="0"/>
          <w:numId w:val="8"/>
        </w:numPr>
        <w:jc w:val="both"/>
        <w:rPr>
          <w:rFonts w:ascii="Cambria" w:hAnsi="Cambria"/>
        </w:rPr>
      </w:pPr>
      <w:r w:rsidRPr="00153356">
        <w:rPr>
          <w:rFonts w:ascii="Cambria" w:hAnsi="Cambria"/>
          <w:b/>
          <w:bCs/>
        </w:rPr>
        <w:t>Proyecto "Línea Abierta" (</w:t>
      </w:r>
      <w:r w:rsidR="004F19A6" w:rsidRPr="00153356">
        <w:rPr>
          <w:rFonts w:ascii="Cambria" w:hAnsi="Cambria"/>
          <w:b/>
          <w:bCs/>
        </w:rPr>
        <w:t>SEC</w:t>
      </w:r>
      <w:r w:rsidRPr="00153356">
        <w:rPr>
          <w:rFonts w:ascii="Cambria" w:hAnsi="Cambria"/>
          <w:b/>
          <w:bCs/>
        </w:rPr>
        <w:t xml:space="preserve"> / ICEX / CEOE):</w:t>
      </w:r>
    </w:p>
    <w:p w14:paraId="7A05A38C" w14:textId="77777777" w:rsidR="00FF787D" w:rsidRPr="00153356" w:rsidRDefault="00FF787D" w:rsidP="00153356">
      <w:pPr>
        <w:numPr>
          <w:ilvl w:val="1"/>
          <w:numId w:val="8"/>
        </w:numPr>
        <w:jc w:val="both"/>
        <w:rPr>
          <w:rFonts w:ascii="Cambria" w:hAnsi="Cambria"/>
        </w:rPr>
      </w:pPr>
      <w:r w:rsidRPr="00153356">
        <w:rPr>
          <w:rFonts w:ascii="Cambria" w:hAnsi="Cambria"/>
        </w:rPr>
        <w:t>Detecta problemas reales de empresas españolas en la UE.</w:t>
      </w:r>
    </w:p>
    <w:p w14:paraId="45601F54" w14:textId="2EA1B66B" w:rsidR="00FF787D" w:rsidRPr="00153356" w:rsidRDefault="00FF787D" w:rsidP="00153356">
      <w:pPr>
        <w:numPr>
          <w:ilvl w:val="1"/>
          <w:numId w:val="8"/>
        </w:numPr>
        <w:jc w:val="both"/>
        <w:rPr>
          <w:rFonts w:ascii="Cambria" w:hAnsi="Cambria"/>
        </w:rPr>
      </w:pPr>
      <w:r w:rsidRPr="00153356">
        <w:rPr>
          <w:rFonts w:ascii="Cambria" w:hAnsi="Cambria"/>
        </w:rPr>
        <w:t>Los obstáculos más frecuentes son las normas técnicas seguidos de envases/embalajes.</w:t>
      </w:r>
    </w:p>
    <w:p w14:paraId="111ACD1D" w14:textId="1F6D0DC4" w:rsidR="00FF787D" w:rsidRPr="00153356" w:rsidRDefault="00FF787D" w:rsidP="00153356">
      <w:pPr>
        <w:numPr>
          <w:ilvl w:val="0"/>
          <w:numId w:val="8"/>
        </w:numPr>
        <w:jc w:val="both"/>
        <w:rPr>
          <w:rFonts w:ascii="Cambria" w:hAnsi="Cambria"/>
        </w:rPr>
      </w:pPr>
      <w:r w:rsidRPr="00153356">
        <w:rPr>
          <w:rFonts w:ascii="Cambria" w:hAnsi="Cambria"/>
          <w:b/>
          <w:bCs/>
        </w:rPr>
        <w:t xml:space="preserve">Red </w:t>
      </w:r>
      <w:proofErr w:type="gramStart"/>
      <w:r w:rsidRPr="00153356">
        <w:rPr>
          <w:rFonts w:ascii="Cambria" w:hAnsi="Cambria"/>
          <w:b/>
          <w:bCs/>
        </w:rPr>
        <w:t>SOLVIT :</w:t>
      </w:r>
      <w:proofErr w:type="gramEnd"/>
    </w:p>
    <w:p w14:paraId="4C3B9BB7" w14:textId="77777777" w:rsidR="00FF787D" w:rsidRPr="00153356" w:rsidRDefault="00FF787D" w:rsidP="00153356">
      <w:pPr>
        <w:numPr>
          <w:ilvl w:val="1"/>
          <w:numId w:val="8"/>
        </w:numPr>
        <w:jc w:val="both"/>
        <w:rPr>
          <w:rFonts w:ascii="Cambria" w:hAnsi="Cambria"/>
        </w:rPr>
      </w:pPr>
      <w:r w:rsidRPr="00153356">
        <w:rPr>
          <w:rFonts w:ascii="Cambria" w:hAnsi="Cambria"/>
        </w:rPr>
        <w:t xml:space="preserve">Red de resolución de problemas </w:t>
      </w:r>
      <w:r w:rsidRPr="00153356">
        <w:rPr>
          <w:rFonts w:ascii="Cambria" w:hAnsi="Cambria"/>
          <w:bCs/>
        </w:rPr>
        <w:t>extrajudicial y gratuita</w:t>
      </w:r>
      <w:r w:rsidRPr="00153356">
        <w:rPr>
          <w:rFonts w:ascii="Cambria" w:hAnsi="Cambria"/>
        </w:rPr>
        <w:t>.</w:t>
      </w:r>
    </w:p>
    <w:p w14:paraId="25D18E94" w14:textId="77777777" w:rsidR="00FF787D" w:rsidRPr="00153356" w:rsidRDefault="00FF787D" w:rsidP="00153356">
      <w:pPr>
        <w:numPr>
          <w:ilvl w:val="1"/>
          <w:numId w:val="8"/>
        </w:numPr>
        <w:jc w:val="both"/>
        <w:rPr>
          <w:rFonts w:ascii="Cambria" w:hAnsi="Cambria"/>
        </w:rPr>
      </w:pPr>
      <w:r w:rsidRPr="00153356">
        <w:rPr>
          <w:rFonts w:ascii="Cambria" w:hAnsi="Cambria"/>
        </w:rPr>
        <w:t>Conecta a las administraciones nacionales.</w:t>
      </w:r>
    </w:p>
    <w:p w14:paraId="73578819" w14:textId="0CDFEFDB" w:rsidR="00FF787D" w:rsidRPr="00153356" w:rsidRDefault="00FF787D" w:rsidP="00153356">
      <w:pPr>
        <w:numPr>
          <w:ilvl w:val="1"/>
          <w:numId w:val="8"/>
        </w:numPr>
        <w:jc w:val="both"/>
        <w:rPr>
          <w:rFonts w:ascii="Cambria" w:hAnsi="Cambria"/>
        </w:rPr>
      </w:pPr>
      <w:r w:rsidRPr="00153356">
        <w:rPr>
          <w:rFonts w:ascii="Cambria" w:hAnsi="Cambria"/>
        </w:rPr>
        <w:t>Ámbito: Mala aplicación de normas del Mercado Interior por administraciones públicas</w:t>
      </w:r>
    </w:p>
    <w:p w14:paraId="000D1A1A" w14:textId="77777777" w:rsidR="00FF787D" w:rsidRPr="00153356" w:rsidRDefault="00FF787D" w:rsidP="00153356">
      <w:pPr>
        <w:numPr>
          <w:ilvl w:val="1"/>
          <w:numId w:val="8"/>
        </w:numPr>
        <w:jc w:val="both"/>
        <w:rPr>
          <w:rFonts w:ascii="Cambria" w:hAnsi="Cambria"/>
        </w:rPr>
      </w:pPr>
      <w:r w:rsidRPr="00153356">
        <w:rPr>
          <w:rFonts w:ascii="Cambria" w:hAnsi="Cambria"/>
        </w:rPr>
        <w:t>Plazo objetivo: 10 semanas para encontrar solución.</w:t>
      </w:r>
    </w:p>
    <w:p w14:paraId="11AF0408" w14:textId="77777777" w:rsidR="00FF787D" w:rsidRPr="00153356" w:rsidRDefault="00FF787D" w:rsidP="00153356">
      <w:pPr>
        <w:numPr>
          <w:ilvl w:val="1"/>
          <w:numId w:val="8"/>
        </w:numPr>
        <w:jc w:val="both"/>
        <w:rPr>
          <w:rFonts w:ascii="Cambria" w:hAnsi="Cambria"/>
        </w:rPr>
      </w:pPr>
      <w:r w:rsidRPr="00153356">
        <w:rPr>
          <w:rFonts w:ascii="Cambria" w:hAnsi="Cambria"/>
        </w:rPr>
        <w:t>Punto de contacto en España: Ministerio de Asuntos Exteriores.</w:t>
      </w:r>
    </w:p>
    <w:p w14:paraId="023A5D4F" w14:textId="77777777" w:rsidR="00FF787D" w:rsidRPr="00153356" w:rsidRDefault="00FF787D" w:rsidP="00153356">
      <w:pPr>
        <w:numPr>
          <w:ilvl w:val="0"/>
          <w:numId w:val="8"/>
        </w:numPr>
        <w:jc w:val="both"/>
        <w:rPr>
          <w:rFonts w:ascii="Cambria" w:hAnsi="Cambria"/>
        </w:rPr>
      </w:pPr>
      <w:r w:rsidRPr="00153356">
        <w:rPr>
          <w:rFonts w:ascii="Cambria" w:hAnsi="Cambria"/>
          <w:b/>
          <w:bCs/>
        </w:rPr>
        <w:lastRenderedPageBreak/>
        <w:t>Programa EU Pilot:</w:t>
      </w:r>
    </w:p>
    <w:p w14:paraId="141A5BE3" w14:textId="77777777" w:rsidR="00FF787D" w:rsidRPr="00153356" w:rsidRDefault="00FF787D" w:rsidP="00153356">
      <w:pPr>
        <w:numPr>
          <w:ilvl w:val="1"/>
          <w:numId w:val="8"/>
        </w:numPr>
        <w:jc w:val="both"/>
        <w:rPr>
          <w:rFonts w:ascii="Cambria" w:hAnsi="Cambria"/>
        </w:rPr>
      </w:pPr>
      <w:r w:rsidRPr="00153356">
        <w:rPr>
          <w:rFonts w:ascii="Cambria" w:hAnsi="Cambria"/>
        </w:rPr>
        <w:t>Mecanismo de diálogo informal previo al procedimiento de infracción para aclarar dudas sobre la aplicación de la legislación y corregir infracciones en una etapa temprana.</w:t>
      </w:r>
    </w:p>
    <w:p w14:paraId="0498B15D" w14:textId="77777777" w:rsidR="00A65383" w:rsidRPr="00153356" w:rsidRDefault="00A65383" w:rsidP="00153356">
      <w:pPr>
        <w:jc w:val="both"/>
        <w:rPr>
          <w:rFonts w:ascii="Cambria" w:hAnsi="Cambria"/>
        </w:rPr>
      </w:pPr>
    </w:p>
    <w:sectPr w:rsidR="00A65383" w:rsidRPr="00153356">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1A50C" w14:textId="77777777" w:rsidR="00FF787D" w:rsidRDefault="00FF787D" w:rsidP="00FF787D">
      <w:pPr>
        <w:spacing w:after="0" w:line="240" w:lineRule="auto"/>
      </w:pPr>
      <w:r>
        <w:separator/>
      </w:r>
    </w:p>
  </w:endnote>
  <w:endnote w:type="continuationSeparator" w:id="0">
    <w:p w14:paraId="010D9572" w14:textId="77777777" w:rsidR="00FF787D" w:rsidRDefault="00FF787D" w:rsidP="00FF7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D7872" w14:textId="77777777" w:rsidR="00FF787D" w:rsidRDefault="00FF787D" w:rsidP="00FF787D">
      <w:pPr>
        <w:spacing w:after="0" w:line="240" w:lineRule="auto"/>
      </w:pPr>
      <w:r>
        <w:separator/>
      </w:r>
    </w:p>
  </w:footnote>
  <w:footnote w:type="continuationSeparator" w:id="0">
    <w:p w14:paraId="5F134C59" w14:textId="77777777" w:rsidR="00FF787D" w:rsidRDefault="00FF787D" w:rsidP="00FF78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47C51" w14:textId="025814C1" w:rsidR="00FF787D" w:rsidRPr="00FF787D" w:rsidRDefault="00FF787D" w:rsidP="00FF787D">
    <w:pPr>
      <w:pStyle w:val="Encabezado"/>
      <w:jc w:val="both"/>
      <w:rPr>
        <w:rFonts w:ascii="Palatino Linotype" w:hAnsi="Palatino Linotype"/>
        <w:i/>
        <w:iCs/>
      </w:rPr>
    </w:pPr>
    <w:r w:rsidRPr="00FF787D">
      <w:rPr>
        <w:rFonts w:ascii="Palatino Linotype" w:hAnsi="Palatino Linotype"/>
        <w:b/>
        <w:bCs/>
        <w:i/>
        <w:iCs/>
      </w:rPr>
      <w:t>TEMA 29 -</w:t>
    </w:r>
    <w:r w:rsidRPr="00FF787D">
      <w:rPr>
        <w:rFonts w:ascii="Palatino Linotype" w:hAnsi="Palatino Linotype"/>
        <w:i/>
        <w:iCs/>
      </w:rPr>
      <w:t xml:space="preserve"> Medidas de armonización y transparencia en la Unión Europea. Normativa aplicable. Procedimientos para la resolución de obstáculos dentro del Mercado Interior comunitario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83FCB"/>
    <w:multiLevelType w:val="multilevel"/>
    <w:tmpl w:val="063EE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A27019"/>
    <w:multiLevelType w:val="multilevel"/>
    <w:tmpl w:val="6CC08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90D42B7"/>
    <w:multiLevelType w:val="multilevel"/>
    <w:tmpl w:val="4476F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9F289D"/>
    <w:multiLevelType w:val="multilevel"/>
    <w:tmpl w:val="9396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243ED7"/>
    <w:multiLevelType w:val="multilevel"/>
    <w:tmpl w:val="04D25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F0676"/>
    <w:multiLevelType w:val="multilevel"/>
    <w:tmpl w:val="3182A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221D92"/>
    <w:multiLevelType w:val="multilevel"/>
    <w:tmpl w:val="4852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5F226C"/>
    <w:multiLevelType w:val="multilevel"/>
    <w:tmpl w:val="86FA8A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842028">
    <w:abstractNumId w:val="5"/>
  </w:num>
  <w:num w:numId="2" w16cid:durableId="563223004">
    <w:abstractNumId w:val="0"/>
  </w:num>
  <w:num w:numId="3" w16cid:durableId="1882546825">
    <w:abstractNumId w:val="2"/>
  </w:num>
  <w:num w:numId="4" w16cid:durableId="747656673">
    <w:abstractNumId w:val="6"/>
  </w:num>
  <w:num w:numId="5" w16cid:durableId="414327224">
    <w:abstractNumId w:val="3"/>
  </w:num>
  <w:num w:numId="6" w16cid:durableId="943077568">
    <w:abstractNumId w:val="1"/>
  </w:num>
  <w:num w:numId="7" w16cid:durableId="406345246">
    <w:abstractNumId w:val="4"/>
  </w:num>
  <w:num w:numId="8" w16cid:durableId="14974566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87D"/>
    <w:rsid w:val="001011CD"/>
    <w:rsid w:val="00153356"/>
    <w:rsid w:val="001A7CC5"/>
    <w:rsid w:val="00340E54"/>
    <w:rsid w:val="004A37FF"/>
    <w:rsid w:val="004F19A6"/>
    <w:rsid w:val="005803BC"/>
    <w:rsid w:val="007A3032"/>
    <w:rsid w:val="00A65383"/>
    <w:rsid w:val="00A8675C"/>
    <w:rsid w:val="00C12CFD"/>
    <w:rsid w:val="00EC374D"/>
    <w:rsid w:val="00FF787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A8308"/>
  <w15:chartTrackingRefBased/>
  <w15:docId w15:val="{0309F7D9-A0E0-4C71-96BD-8CD7A17E8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F78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F78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F78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F78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F78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F7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F7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F7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F78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8675C"/>
    <w:pPr>
      <w:ind w:left="720"/>
      <w:contextualSpacing/>
    </w:pPr>
  </w:style>
  <w:style w:type="character" w:customStyle="1" w:styleId="Ttulo1Car">
    <w:name w:val="Título 1 Car"/>
    <w:basedOn w:val="Fuentedeprrafopredeter"/>
    <w:link w:val="Ttulo1"/>
    <w:uiPriority w:val="9"/>
    <w:rsid w:val="00FF78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F78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F78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F78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F78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F78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F78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F78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F787D"/>
    <w:rPr>
      <w:rFonts w:eastAsiaTheme="majorEastAsia" w:cstheme="majorBidi"/>
      <w:color w:val="272727" w:themeColor="text1" w:themeTint="D8"/>
    </w:rPr>
  </w:style>
  <w:style w:type="paragraph" w:styleId="Ttulo">
    <w:name w:val="Title"/>
    <w:basedOn w:val="Normal"/>
    <w:next w:val="Normal"/>
    <w:link w:val="TtuloCar"/>
    <w:uiPriority w:val="10"/>
    <w:qFormat/>
    <w:rsid w:val="00FF7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F7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F78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F78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F787D"/>
    <w:pPr>
      <w:spacing w:before="160"/>
      <w:jc w:val="center"/>
    </w:pPr>
    <w:rPr>
      <w:i/>
      <w:iCs/>
      <w:color w:val="404040" w:themeColor="text1" w:themeTint="BF"/>
    </w:rPr>
  </w:style>
  <w:style w:type="character" w:customStyle="1" w:styleId="CitaCar">
    <w:name w:val="Cita Car"/>
    <w:basedOn w:val="Fuentedeprrafopredeter"/>
    <w:link w:val="Cita"/>
    <w:uiPriority w:val="29"/>
    <w:rsid w:val="00FF787D"/>
    <w:rPr>
      <w:i/>
      <w:iCs/>
      <w:color w:val="404040" w:themeColor="text1" w:themeTint="BF"/>
    </w:rPr>
  </w:style>
  <w:style w:type="character" w:styleId="nfasisintenso">
    <w:name w:val="Intense Emphasis"/>
    <w:basedOn w:val="Fuentedeprrafopredeter"/>
    <w:uiPriority w:val="21"/>
    <w:qFormat/>
    <w:rsid w:val="00FF787D"/>
    <w:rPr>
      <w:i/>
      <w:iCs/>
      <w:color w:val="0F4761" w:themeColor="accent1" w:themeShade="BF"/>
    </w:rPr>
  </w:style>
  <w:style w:type="paragraph" w:styleId="Citadestacada">
    <w:name w:val="Intense Quote"/>
    <w:basedOn w:val="Normal"/>
    <w:next w:val="Normal"/>
    <w:link w:val="CitadestacadaCar"/>
    <w:uiPriority w:val="30"/>
    <w:qFormat/>
    <w:rsid w:val="00FF78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F787D"/>
    <w:rPr>
      <w:i/>
      <w:iCs/>
      <w:color w:val="0F4761" w:themeColor="accent1" w:themeShade="BF"/>
    </w:rPr>
  </w:style>
  <w:style w:type="character" w:styleId="Referenciaintensa">
    <w:name w:val="Intense Reference"/>
    <w:basedOn w:val="Fuentedeprrafopredeter"/>
    <w:uiPriority w:val="32"/>
    <w:qFormat/>
    <w:rsid w:val="00FF787D"/>
    <w:rPr>
      <w:b/>
      <w:bCs/>
      <w:smallCaps/>
      <w:color w:val="0F4761" w:themeColor="accent1" w:themeShade="BF"/>
      <w:spacing w:val="5"/>
    </w:rPr>
  </w:style>
  <w:style w:type="paragraph" w:styleId="Encabezado">
    <w:name w:val="header"/>
    <w:basedOn w:val="Normal"/>
    <w:link w:val="EncabezadoCar"/>
    <w:uiPriority w:val="99"/>
    <w:unhideWhenUsed/>
    <w:rsid w:val="00FF787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787D"/>
  </w:style>
  <w:style w:type="paragraph" w:styleId="Piedepgina">
    <w:name w:val="footer"/>
    <w:basedOn w:val="Normal"/>
    <w:link w:val="PiedepginaCar"/>
    <w:uiPriority w:val="99"/>
    <w:unhideWhenUsed/>
    <w:rsid w:val="00FF787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78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1125</Words>
  <Characters>6191</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Argudo Santiago, Sergio</dc:creator>
  <cp:keywords/>
  <dc:description/>
  <cp:lastModifiedBy>Argudo Santiago, Sergio</cp:lastModifiedBy>
  <cp:revision>4</cp:revision>
  <dcterms:created xsi:type="dcterms:W3CDTF">2025-11-24T09:12:00Z</dcterms:created>
  <dcterms:modified xsi:type="dcterms:W3CDTF">2026-01-14T14:27:00Z</dcterms:modified>
</cp:coreProperties>
</file>