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88C4E" w14:textId="433D66FA" w:rsidR="00761683" w:rsidRPr="00C07ACA" w:rsidRDefault="00761683" w:rsidP="00C07AC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07ACA">
        <w:rPr>
          <w:rFonts w:ascii="Cambria" w:hAnsi="Cambria"/>
          <w:b/>
          <w:bCs/>
          <w:color w:val="auto"/>
          <w:sz w:val="28"/>
          <w:szCs w:val="28"/>
        </w:rPr>
        <w:t xml:space="preserve">1. Evolución General y Saldo Comercial </w:t>
      </w:r>
    </w:p>
    <w:p w14:paraId="2DD04B11" w14:textId="77777777" w:rsidR="00761683" w:rsidRPr="00C07ACA" w:rsidRDefault="00761683" w:rsidP="00C07AC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07ACA">
        <w:rPr>
          <w:rFonts w:ascii="Cambria" w:hAnsi="Cambria"/>
          <w:b/>
          <w:bCs/>
          <w:color w:val="auto"/>
          <w:sz w:val="24"/>
          <w:szCs w:val="24"/>
        </w:rPr>
        <w:t xml:space="preserve">1.1. Principales Magnitudes </w:t>
      </w:r>
    </w:p>
    <w:p w14:paraId="456B687F" w14:textId="25A45EA9" w:rsidR="00761683" w:rsidRPr="00C07ACA" w:rsidRDefault="00761683" w:rsidP="00C07ACA">
      <w:pPr>
        <w:jc w:val="both"/>
        <w:rPr>
          <w:rFonts w:ascii="Cambria" w:hAnsi="Cambria"/>
        </w:rPr>
      </w:pPr>
      <w:r w:rsidRPr="00C07ACA">
        <w:rPr>
          <w:rFonts w:ascii="Cambria" w:hAnsi="Cambria"/>
        </w:rPr>
        <w:t>El año 2024 se ha caracterizado por una estabilización de los flujos comerciales tras las fuertes variaciones de años previos, alcanzando el segundo mejor registro exportador de la serie histórica.</w:t>
      </w:r>
    </w:p>
    <w:p w14:paraId="4494BA03" w14:textId="272F4F44" w:rsidR="00761683" w:rsidRPr="00C07ACA" w:rsidRDefault="00761683" w:rsidP="00C07ACA">
      <w:pPr>
        <w:pStyle w:val="Prrafodelista"/>
        <w:numPr>
          <w:ilvl w:val="0"/>
          <w:numId w:val="3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Exportaciones:</w:t>
      </w:r>
      <w:r w:rsidRPr="00C07ACA">
        <w:rPr>
          <w:rFonts w:ascii="Cambria" w:hAnsi="Cambria"/>
        </w:rPr>
        <w:t xml:space="preserve"> Alcanzaron los </w:t>
      </w:r>
      <w:r w:rsidRPr="00C07ACA">
        <w:rPr>
          <w:rFonts w:ascii="Cambria" w:hAnsi="Cambria"/>
          <w:b/>
          <w:bCs/>
        </w:rPr>
        <w:t>384.464,9 millones de euros</w:t>
      </w:r>
      <w:r w:rsidRPr="00C07ACA">
        <w:rPr>
          <w:rFonts w:ascii="Cambria" w:hAnsi="Cambria"/>
        </w:rPr>
        <w:t xml:space="preserve">, lo que supone un ligero incremento del </w:t>
      </w:r>
      <w:r w:rsidRPr="00C07ACA">
        <w:rPr>
          <w:rFonts w:ascii="Cambria" w:hAnsi="Cambria"/>
          <w:b/>
          <w:bCs/>
        </w:rPr>
        <w:t>0,2%</w:t>
      </w:r>
      <w:r w:rsidRPr="00C07ACA">
        <w:rPr>
          <w:rFonts w:ascii="Cambria" w:hAnsi="Cambria"/>
        </w:rPr>
        <w:t xml:space="preserve"> respecto a 2023</w:t>
      </w:r>
      <w:r w:rsidRPr="00C07ACA">
        <w:rPr>
          <w:rFonts w:ascii="Cambria" w:hAnsi="Cambria"/>
        </w:rPr>
        <w:t>.</w:t>
      </w:r>
    </w:p>
    <w:p w14:paraId="18B0D1D2" w14:textId="796FCD21" w:rsidR="00761683" w:rsidRPr="00C07ACA" w:rsidRDefault="00761683" w:rsidP="00C07ACA">
      <w:pPr>
        <w:pStyle w:val="Prrafodelista"/>
        <w:numPr>
          <w:ilvl w:val="0"/>
          <w:numId w:val="3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Importaciones:</w:t>
      </w:r>
      <w:r w:rsidRPr="00C07ACA">
        <w:rPr>
          <w:rFonts w:ascii="Cambria" w:hAnsi="Cambria"/>
        </w:rPr>
        <w:t xml:space="preserve"> Se situaron en </w:t>
      </w:r>
      <w:r w:rsidRPr="00C07ACA">
        <w:rPr>
          <w:rFonts w:ascii="Cambria" w:hAnsi="Cambria"/>
          <w:b/>
          <w:bCs/>
        </w:rPr>
        <w:t>424.740,7 millones de euros</w:t>
      </w:r>
      <w:r w:rsidRPr="00C07ACA">
        <w:rPr>
          <w:rFonts w:ascii="Cambria" w:hAnsi="Cambria"/>
        </w:rPr>
        <w:t xml:space="preserve">, con un aumento marginal del </w:t>
      </w:r>
      <w:r w:rsidRPr="00C07ACA">
        <w:rPr>
          <w:rFonts w:ascii="Cambria" w:hAnsi="Cambria"/>
          <w:b/>
          <w:bCs/>
        </w:rPr>
        <w:t>0,1%</w:t>
      </w:r>
      <w:r w:rsidRPr="00C07ACA">
        <w:rPr>
          <w:rFonts w:ascii="Cambria" w:hAnsi="Cambria"/>
        </w:rPr>
        <w:t>.</w:t>
      </w:r>
    </w:p>
    <w:p w14:paraId="526E18C4" w14:textId="7E79B6C0" w:rsidR="00761683" w:rsidRPr="00C07ACA" w:rsidRDefault="00761683" w:rsidP="00C07ACA">
      <w:pPr>
        <w:pStyle w:val="Prrafodelista"/>
        <w:numPr>
          <w:ilvl w:val="0"/>
          <w:numId w:val="3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Saldo Comercial:</w:t>
      </w:r>
      <w:r w:rsidRPr="00C07ACA">
        <w:rPr>
          <w:rFonts w:ascii="Cambria" w:hAnsi="Cambria"/>
        </w:rPr>
        <w:t xml:space="preserve"> Se registró un déficit de </w:t>
      </w:r>
      <w:r w:rsidRPr="00C07ACA">
        <w:rPr>
          <w:rFonts w:ascii="Cambria" w:hAnsi="Cambria"/>
          <w:b/>
          <w:bCs/>
        </w:rPr>
        <w:t>-40.275,9 millones de euros</w:t>
      </w:r>
      <w:r w:rsidRPr="00C07ACA">
        <w:rPr>
          <w:rFonts w:ascii="Cambria" w:hAnsi="Cambria"/>
        </w:rPr>
        <w:t>.</w:t>
      </w:r>
    </w:p>
    <w:p w14:paraId="64B8E8E0" w14:textId="17A1CFF0" w:rsidR="00761683" w:rsidRPr="00C07ACA" w:rsidRDefault="00761683" w:rsidP="00C07ACA">
      <w:pPr>
        <w:pStyle w:val="Prrafodelista"/>
        <w:jc w:val="both"/>
        <w:rPr>
          <w:rFonts w:ascii="Cambria" w:hAnsi="Cambria"/>
        </w:rPr>
      </w:pPr>
      <w:r w:rsidRPr="00C07ACA">
        <w:rPr>
          <w:rFonts w:ascii="Cambria" w:hAnsi="Cambria"/>
          <w:i/>
          <w:iCs/>
        </w:rPr>
        <w:t>Mejora:</w:t>
      </w:r>
      <w:r w:rsidRPr="00C07ACA">
        <w:rPr>
          <w:rFonts w:ascii="Cambria" w:hAnsi="Cambria"/>
        </w:rPr>
        <w:t xml:space="preserve"> El déficit se redujo ligeramente respecto a 2023 (que fue de -40.560,1 M€).</w:t>
      </w:r>
    </w:p>
    <w:p w14:paraId="24CAB2C4" w14:textId="559C5B5B" w:rsidR="00761683" w:rsidRPr="00C07ACA" w:rsidRDefault="00761683" w:rsidP="00C07ACA">
      <w:pPr>
        <w:pStyle w:val="Prrafodelista"/>
        <w:numPr>
          <w:ilvl w:val="0"/>
          <w:numId w:val="3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Tasa de Cobertura:</w:t>
      </w:r>
      <w:r w:rsidRPr="00C07ACA">
        <w:rPr>
          <w:rFonts w:ascii="Cambria" w:hAnsi="Cambria"/>
        </w:rPr>
        <w:t xml:space="preserve"> Se situó en el </w:t>
      </w:r>
      <w:r w:rsidRPr="00C07ACA">
        <w:rPr>
          <w:rFonts w:ascii="Cambria" w:hAnsi="Cambria"/>
          <w:b/>
          <w:bCs/>
        </w:rPr>
        <w:t>90,5%</w:t>
      </w:r>
      <w:r w:rsidRPr="00C07ACA">
        <w:rPr>
          <w:rFonts w:ascii="Cambria" w:hAnsi="Cambria"/>
        </w:rPr>
        <w:t>, manteniéndose estable respecto al año anterior (90,4%).</w:t>
      </w:r>
    </w:p>
    <w:p w14:paraId="72D45A5A" w14:textId="77777777" w:rsidR="00761683" w:rsidRPr="00C07ACA" w:rsidRDefault="00761683" w:rsidP="00C07ACA">
      <w:p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1.2. Análisis del Déficit: Energético vs. No Energético</w:t>
      </w:r>
      <w:r w:rsidRPr="00C07ACA">
        <w:rPr>
          <w:rFonts w:ascii="Cambria" w:hAnsi="Cambria"/>
        </w:rPr>
        <w:t xml:space="preserve"> </w:t>
      </w:r>
    </w:p>
    <w:p w14:paraId="0F38D76E" w14:textId="36EB1012" w:rsidR="00761683" w:rsidRPr="00C07ACA" w:rsidRDefault="00761683" w:rsidP="00C07ACA">
      <w:pPr>
        <w:jc w:val="both"/>
        <w:rPr>
          <w:rFonts w:ascii="Cambria" w:hAnsi="Cambria"/>
        </w:rPr>
      </w:pPr>
      <w:r w:rsidRPr="00C07ACA">
        <w:rPr>
          <w:rFonts w:ascii="Cambria" w:hAnsi="Cambria"/>
        </w:rPr>
        <w:t>La corrección del déficit comercial se debe fundamentalmente a la reducción de la factura energética.</w:t>
      </w:r>
    </w:p>
    <w:p w14:paraId="12AD62B7" w14:textId="292556DF" w:rsidR="00761683" w:rsidRPr="00C07ACA" w:rsidRDefault="00761683" w:rsidP="00C07ACA">
      <w:pPr>
        <w:pStyle w:val="Prrafodelista"/>
        <w:numPr>
          <w:ilvl w:val="0"/>
          <w:numId w:val="1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Saldo No Energético:</w:t>
      </w:r>
      <w:r w:rsidRPr="00C07ACA">
        <w:rPr>
          <w:rFonts w:ascii="Cambria" w:hAnsi="Cambria"/>
        </w:rPr>
        <w:t xml:space="preserve"> Presentó un déficit de </w:t>
      </w:r>
      <w:r w:rsidRPr="00C07ACA">
        <w:rPr>
          <w:rFonts w:ascii="Cambria" w:hAnsi="Cambria"/>
          <w:b/>
          <w:bCs/>
        </w:rPr>
        <w:t>-9.833,2 M€</w:t>
      </w:r>
      <w:r w:rsidRPr="00C07ACA">
        <w:rPr>
          <w:rFonts w:ascii="Cambria" w:hAnsi="Cambria"/>
        </w:rPr>
        <w:t xml:space="preserve"> (empeoró respecto a los -7.479,8 M€ de 2023).</w:t>
      </w:r>
    </w:p>
    <w:p w14:paraId="20B0D276" w14:textId="0D45AFD6" w:rsidR="00761683" w:rsidRPr="00C07ACA" w:rsidRDefault="00761683" w:rsidP="00C07ACA">
      <w:pPr>
        <w:pStyle w:val="Prrafodelista"/>
        <w:numPr>
          <w:ilvl w:val="0"/>
          <w:numId w:val="1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Saldo Energético:</w:t>
      </w:r>
      <w:r w:rsidRPr="00C07ACA">
        <w:rPr>
          <w:rFonts w:ascii="Cambria" w:hAnsi="Cambria"/>
        </w:rPr>
        <w:t xml:space="preserve"> El déficit se redujo notablemente a </w:t>
      </w:r>
      <w:r w:rsidRPr="00C07ACA">
        <w:rPr>
          <w:rFonts w:ascii="Cambria" w:hAnsi="Cambria"/>
          <w:b/>
          <w:bCs/>
        </w:rPr>
        <w:t>-30.442,7 M€</w:t>
      </w:r>
      <w:r w:rsidRPr="00C07ACA">
        <w:rPr>
          <w:rFonts w:ascii="Cambria" w:hAnsi="Cambria"/>
        </w:rPr>
        <w:t xml:space="preserve"> (frente a los -33.080,4 M€ de 2023), gracias a la caída de precios internacionales de la energía y menor volumen de importación.</w:t>
      </w:r>
    </w:p>
    <w:p w14:paraId="5C9CB17C" w14:textId="77777777" w:rsidR="00761683" w:rsidRPr="00C07ACA" w:rsidRDefault="00761683" w:rsidP="00C07AC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07ACA">
        <w:rPr>
          <w:rFonts w:ascii="Cambria" w:hAnsi="Cambria"/>
          <w:b/>
          <w:bCs/>
          <w:color w:val="auto"/>
          <w:sz w:val="28"/>
          <w:szCs w:val="28"/>
        </w:rPr>
        <w:t>2. Estructura Sectorial del Comercio</w:t>
      </w:r>
    </w:p>
    <w:p w14:paraId="2C6C6358" w14:textId="77777777" w:rsidR="00761683" w:rsidRPr="00C07ACA" w:rsidRDefault="00761683" w:rsidP="00C07AC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07ACA">
        <w:rPr>
          <w:rFonts w:ascii="Cambria" w:hAnsi="Cambria"/>
          <w:b/>
          <w:bCs/>
          <w:color w:val="auto"/>
          <w:sz w:val="24"/>
          <w:szCs w:val="24"/>
        </w:rPr>
        <w:t xml:space="preserve">2.1. Exportaciones por Sectores </w:t>
      </w:r>
    </w:p>
    <w:p w14:paraId="0251B7B2" w14:textId="464050E6" w:rsidR="00761683" w:rsidRPr="00C07ACA" w:rsidRDefault="00761683" w:rsidP="00C07ACA">
      <w:pPr>
        <w:jc w:val="both"/>
        <w:rPr>
          <w:rFonts w:ascii="Cambria" w:hAnsi="Cambria"/>
        </w:rPr>
      </w:pPr>
      <w:r w:rsidRPr="00C07ACA">
        <w:rPr>
          <w:rFonts w:ascii="Cambria" w:hAnsi="Cambria"/>
        </w:rPr>
        <w:t>La estructura exportadora española muestra diversificación, liderada por bienes de equipo y alimentación.</w:t>
      </w:r>
    </w:p>
    <w:p w14:paraId="1400CC62" w14:textId="642F9CC1" w:rsidR="00761683" w:rsidRPr="00C07ACA" w:rsidRDefault="00761683" w:rsidP="00C07ACA">
      <w:pPr>
        <w:pStyle w:val="Prrafodelista"/>
        <w:numPr>
          <w:ilvl w:val="0"/>
          <w:numId w:val="11"/>
        </w:numPr>
        <w:spacing w:before="240" w:after="0"/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Bienes de Equipo (19,4% del total)</w:t>
      </w:r>
    </w:p>
    <w:p w14:paraId="2A82B45A" w14:textId="7580FE5F" w:rsidR="00761683" w:rsidRPr="00C07ACA" w:rsidRDefault="00761683" w:rsidP="00C07ACA">
      <w:pPr>
        <w:pStyle w:val="Prrafodelista"/>
        <w:numPr>
          <w:ilvl w:val="0"/>
          <w:numId w:val="13"/>
        </w:numPr>
        <w:jc w:val="both"/>
        <w:rPr>
          <w:rFonts w:ascii="Cambria" w:hAnsi="Cambria"/>
        </w:rPr>
      </w:pPr>
      <w:r w:rsidRPr="00C07ACA">
        <w:rPr>
          <w:rFonts w:ascii="Cambria" w:hAnsi="Cambria"/>
        </w:rPr>
        <w:t xml:space="preserve">Principal sector exportador con </w:t>
      </w:r>
      <w:r w:rsidRPr="00C07ACA">
        <w:rPr>
          <w:rFonts w:ascii="Cambria" w:hAnsi="Cambria"/>
          <w:b/>
          <w:bCs/>
        </w:rPr>
        <w:t>74.431 M€</w:t>
      </w:r>
      <w:r w:rsidRPr="00C07ACA">
        <w:rPr>
          <w:rFonts w:ascii="Cambria" w:hAnsi="Cambria"/>
        </w:rPr>
        <w:t>.</w:t>
      </w:r>
    </w:p>
    <w:p w14:paraId="3CEC6453" w14:textId="088C2B0E" w:rsidR="00222690" w:rsidRPr="00C07ACA" w:rsidRDefault="00761683" w:rsidP="00C07ACA">
      <w:pPr>
        <w:pStyle w:val="Prrafodelista"/>
        <w:numPr>
          <w:ilvl w:val="0"/>
          <w:numId w:val="13"/>
        </w:numPr>
        <w:jc w:val="both"/>
        <w:rPr>
          <w:rFonts w:ascii="Cambria" w:hAnsi="Cambria"/>
        </w:rPr>
      </w:pPr>
      <w:r w:rsidRPr="00C07ACA">
        <w:rPr>
          <w:rFonts w:ascii="Cambria" w:hAnsi="Cambria"/>
        </w:rPr>
        <w:t xml:space="preserve">Evolución: Ligera caída del </w:t>
      </w:r>
      <w:r w:rsidRPr="00C07ACA">
        <w:rPr>
          <w:rFonts w:ascii="Cambria" w:hAnsi="Cambria"/>
          <w:b/>
          <w:bCs/>
        </w:rPr>
        <w:t>-0,5%</w:t>
      </w:r>
      <w:r w:rsidRPr="00C07ACA">
        <w:rPr>
          <w:rFonts w:ascii="Cambria" w:hAnsi="Cambria"/>
        </w:rPr>
        <w:t xml:space="preserve"> anual. Destaca el fuerte crecimiento en</w:t>
      </w:r>
      <w:r w:rsidRPr="00C07ACA">
        <w:rPr>
          <w:rFonts w:ascii="Cambria" w:hAnsi="Cambria"/>
        </w:rPr>
        <w:t xml:space="preserve"> </w:t>
      </w:r>
      <w:r w:rsidRPr="00C07ACA">
        <w:rPr>
          <w:rFonts w:ascii="Cambria" w:hAnsi="Cambria"/>
          <w:b/>
          <w:bCs/>
        </w:rPr>
        <w:t>Aeronaves (+43,2%)</w:t>
      </w:r>
      <w:r w:rsidRPr="00C07ACA">
        <w:rPr>
          <w:rFonts w:ascii="Cambria" w:hAnsi="Cambria"/>
        </w:rPr>
        <w:t>, que compensó la caída en transporte por carretera</w:t>
      </w:r>
      <w:r w:rsidRPr="00C07ACA">
        <w:rPr>
          <w:rFonts w:ascii="Cambria" w:hAnsi="Cambria"/>
        </w:rPr>
        <w:t>.</w:t>
      </w:r>
    </w:p>
    <w:p w14:paraId="69D656A0" w14:textId="77777777" w:rsidR="00222690" w:rsidRPr="00C07ACA" w:rsidRDefault="00222690" w:rsidP="00C07ACA">
      <w:pPr>
        <w:pStyle w:val="Prrafodelista"/>
        <w:jc w:val="both"/>
        <w:rPr>
          <w:rFonts w:ascii="Cambria" w:hAnsi="Cambria"/>
        </w:rPr>
      </w:pPr>
    </w:p>
    <w:p w14:paraId="2DCA63BB" w14:textId="4E7DA67B" w:rsidR="00761683" w:rsidRPr="00C07ACA" w:rsidRDefault="00761683" w:rsidP="00C07ACA">
      <w:pPr>
        <w:pStyle w:val="Prrafodelista"/>
        <w:numPr>
          <w:ilvl w:val="0"/>
          <w:numId w:val="11"/>
        </w:numPr>
        <w:spacing w:before="240" w:after="0"/>
        <w:jc w:val="both"/>
        <w:rPr>
          <w:rFonts w:ascii="Cambria" w:hAnsi="Cambria"/>
          <w:b/>
          <w:bCs/>
        </w:rPr>
      </w:pPr>
      <w:r w:rsidRPr="00C07ACA">
        <w:rPr>
          <w:rFonts w:ascii="Cambria" w:hAnsi="Cambria"/>
          <w:b/>
          <w:bCs/>
        </w:rPr>
        <w:t>Alimentación, Bebidas y Tabaco (18,7% del total)</w:t>
      </w:r>
    </w:p>
    <w:p w14:paraId="4860D3B3" w14:textId="5782FBB1" w:rsidR="00761683" w:rsidRPr="00C07ACA" w:rsidRDefault="00761683" w:rsidP="00C07ACA">
      <w:pPr>
        <w:pStyle w:val="Prrafodelista"/>
        <w:numPr>
          <w:ilvl w:val="0"/>
          <w:numId w:val="13"/>
        </w:numPr>
        <w:jc w:val="both"/>
        <w:rPr>
          <w:rFonts w:ascii="Cambria" w:hAnsi="Cambria"/>
        </w:rPr>
      </w:pPr>
      <w:r w:rsidRPr="00C07ACA">
        <w:rPr>
          <w:rFonts w:ascii="Cambria" w:hAnsi="Cambria"/>
        </w:rPr>
        <w:t>Evolución muy positiva: Creció un 6,8% (71.793,7 M€).</w:t>
      </w:r>
    </w:p>
    <w:p w14:paraId="45A660E7" w14:textId="4D4C6602" w:rsidR="00761683" w:rsidRPr="00C07ACA" w:rsidRDefault="00761683" w:rsidP="00C07ACA">
      <w:pPr>
        <w:pStyle w:val="Prrafodelista"/>
        <w:numPr>
          <w:ilvl w:val="0"/>
          <w:numId w:val="13"/>
        </w:numPr>
        <w:jc w:val="both"/>
        <w:rPr>
          <w:rFonts w:ascii="Cambria" w:hAnsi="Cambria"/>
        </w:rPr>
      </w:pPr>
      <w:r w:rsidRPr="00C07ACA">
        <w:rPr>
          <w:rFonts w:ascii="Cambria" w:hAnsi="Cambria"/>
        </w:rPr>
        <w:t>Subsectores clave: Frutas, hortalizas y legumbres (+7,3%) y Aceites y grasas (+24,8%, impulsado por el aumento de precios del aceite de oliva)</w:t>
      </w:r>
      <w:r w:rsidRPr="00C07ACA">
        <w:rPr>
          <w:rFonts w:ascii="Cambria" w:hAnsi="Cambria"/>
        </w:rPr>
        <w:t>.</w:t>
      </w:r>
    </w:p>
    <w:p w14:paraId="75CA9BEB" w14:textId="77777777" w:rsidR="00222690" w:rsidRPr="00C07ACA" w:rsidRDefault="00222690" w:rsidP="00C07ACA">
      <w:pPr>
        <w:pStyle w:val="Prrafodelista"/>
        <w:jc w:val="both"/>
        <w:rPr>
          <w:rFonts w:ascii="Cambria" w:hAnsi="Cambria"/>
        </w:rPr>
      </w:pPr>
    </w:p>
    <w:p w14:paraId="1AE066D2" w14:textId="1CB6B029" w:rsidR="00761683" w:rsidRPr="00C07ACA" w:rsidRDefault="00761683" w:rsidP="00C07ACA">
      <w:pPr>
        <w:pStyle w:val="Prrafodelista"/>
        <w:numPr>
          <w:ilvl w:val="0"/>
          <w:numId w:val="11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Productos Químicos (16,3% del total)</w:t>
      </w:r>
    </w:p>
    <w:p w14:paraId="2DD54528" w14:textId="04A197CD" w:rsidR="00761683" w:rsidRPr="00C07ACA" w:rsidRDefault="00761683" w:rsidP="00C07ACA">
      <w:pPr>
        <w:pStyle w:val="Prrafodelista"/>
        <w:numPr>
          <w:ilvl w:val="0"/>
          <w:numId w:val="13"/>
        </w:numPr>
        <w:jc w:val="both"/>
        <w:rPr>
          <w:rFonts w:ascii="Cambria" w:hAnsi="Cambria"/>
        </w:rPr>
      </w:pPr>
      <w:r w:rsidRPr="00C07ACA">
        <w:rPr>
          <w:rFonts w:ascii="Cambria" w:hAnsi="Cambria"/>
        </w:rPr>
        <w:t>Sufrió una caída del -2,3%, lastrado por los medicamentos (-12,4%), aunque los aceites esenciales y perfumados crecieron un 19,9%</w:t>
      </w:r>
      <w:r w:rsidRPr="00C07ACA">
        <w:rPr>
          <w:rFonts w:ascii="Cambria" w:hAnsi="Cambria"/>
        </w:rPr>
        <w:t>.</w:t>
      </w:r>
    </w:p>
    <w:p w14:paraId="56204C15" w14:textId="77777777" w:rsidR="00222690" w:rsidRPr="00C07ACA" w:rsidRDefault="00222690" w:rsidP="00C07ACA">
      <w:pPr>
        <w:pStyle w:val="Prrafodelista"/>
        <w:jc w:val="both"/>
        <w:rPr>
          <w:rFonts w:ascii="Cambria" w:hAnsi="Cambria"/>
        </w:rPr>
      </w:pPr>
    </w:p>
    <w:p w14:paraId="69CAD237" w14:textId="3B5AACCF" w:rsidR="00761683" w:rsidRPr="00C07ACA" w:rsidRDefault="00761683" w:rsidP="00C07ACA">
      <w:pPr>
        <w:pStyle w:val="Prrafodelista"/>
        <w:numPr>
          <w:ilvl w:val="0"/>
          <w:numId w:val="11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Sector Automóvil (13,8% del total)</w:t>
      </w:r>
    </w:p>
    <w:p w14:paraId="24EF7B26" w14:textId="6BD4503F" w:rsidR="00761683" w:rsidRPr="00C07ACA" w:rsidRDefault="00761683" w:rsidP="00C07ACA">
      <w:pPr>
        <w:pStyle w:val="Prrafodelista"/>
        <w:numPr>
          <w:ilvl w:val="0"/>
          <w:numId w:val="13"/>
        </w:numPr>
        <w:jc w:val="both"/>
        <w:rPr>
          <w:rFonts w:ascii="Cambria" w:hAnsi="Cambria"/>
        </w:rPr>
      </w:pPr>
      <w:r w:rsidRPr="00C07ACA">
        <w:rPr>
          <w:rFonts w:ascii="Cambria" w:hAnsi="Cambria"/>
        </w:rPr>
        <w:t>Exportó 53.210,8 M€, registrando una caída del -1,4%. Tanto automóviles como componentes mostraron tasas negativas</w:t>
      </w:r>
      <w:r w:rsidRPr="00C07ACA">
        <w:rPr>
          <w:rFonts w:ascii="Cambria" w:hAnsi="Cambria"/>
        </w:rPr>
        <w:t>.</w:t>
      </w:r>
    </w:p>
    <w:p w14:paraId="7B121E55" w14:textId="77777777" w:rsidR="00222690" w:rsidRPr="00C07ACA" w:rsidRDefault="00222690" w:rsidP="00C07ACA">
      <w:pPr>
        <w:pStyle w:val="Prrafodelista"/>
        <w:jc w:val="both"/>
        <w:rPr>
          <w:rFonts w:ascii="Cambria" w:hAnsi="Cambria"/>
        </w:rPr>
      </w:pPr>
    </w:p>
    <w:p w14:paraId="12541B40" w14:textId="6C3119E4" w:rsidR="00761683" w:rsidRPr="00C07ACA" w:rsidRDefault="00761683" w:rsidP="00C07ACA">
      <w:pPr>
        <w:pStyle w:val="Prrafodelista"/>
        <w:numPr>
          <w:ilvl w:val="0"/>
          <w:numId w:val="11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Productos Energéticos (7,3% del total)</w:t>
      </w:r>
    </w:p>
    <w:p w14:paraId="3FA633CD" w14:textId="0C75F3DD" w:rsidR="00761683" w:rsidRPr="00C07ACA" w:rsidRDefault="00761683" w:rsidP="00C07ACA">
      <w:pPr>
        <w:pStyle w:val="Prrafodelista"/>
        <w:numPr>
          <w:ilvl w:val="0"/>
          <w:numId w:val="13"/>
        </w:numPr>
        <w:jc w:val="both"/>
        <w:rPr>
          <w:rFonts w:ascii="Cambria" w:hAnsi="Cambria"/>
        </w:rPr>
      </w:pPr>
      <w:r w:rsidRPr="00C07ACA">
        <w:rPr>
          <w:rFonts w:ascii="Cambria" w:hAnsi="Cambria"/>
        </w:rPr>
        <w:t>Fuerte contracción del -7,6%, debido a la bajada de precios y menor</w:t>
      </w:r>
      <w:r w:rsidR="00222690" w:rsidRPr="00C07ACA">
        <w:rPr>
          <w:rFonts w:ascii="Cambria" w:hAnsi="Cambria"/>
        </w:rPr>
        <w:t xml:space="preserve"> </w:t>
      </w:r>
      <w:r w:rsidRPr="00C07ACA">
        <w:rPr>
          <w:rFonts w:ascii="Cambria" w:hAnsi="Cambria"/>
        </w:rPr>
        <w:t>demanda externa de refino.</w:t>
      </w:r>
    </w:p>
    <w:p w14:paraId="661E193C" w14:textId="77777777" w:rsidR="00761683" w:rsidRPr="00C07ACA" w:rsidRDefault="00761683" w:rsidP="00C07AC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07ACA">
        <w:rPr>
          <w:rFonts w:ascii="Cambria" w:hAnsi="Cambria"/>
          <w:b/>
          <w:bCs/>
          <w:color w:val="auto"/>
          <w:sz w:val="24"/>
          <w:szCs w:val="24"/>
        </w:rPr>
        <w:t>2.2. Importaciones por Sectores</w:t>
      </w:r>
    </w:p>
    <w:p w14:paraId="2BBB03DD" w14:textId="58F9463A" w:rsidR="00761683" w:rsidRPr="00C07ACA" w:rsidRDefault="00761683" w:rsidP="00C07ACA">
      <w:pPr>
        <w:pStyle w:val="Prrafodelista"/>
        <w:numPr>
          <w:ilvl w:val="0"/>
          <w:numId w:val="9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Bienes de Equipo (22,6%):</w:t>
      </w:r>
      <w:r w:rsidRPr="00C07ACA">
        <w:rPr>
          <w:rFonts w:ascii="Cambria" w:hAnsi="Cambria"/>
        </w:rPr>
        <w:t xml:space="preserve"> Principal partida importadora (+1,0%), destacando las compras de material de oficina y telecomunicaciones</w:t>
      </w:r>
      <w:r w:rsidRPr="00C07ACA">
        <w:rPr>
          <w:rFonts w:ascii="Cambria" w:hAnsi="Cambria"/>
        </w:rPr>
        <w:t>.</w:t>
      </w:r>
    </w:p>
    <w:p w14:paraId="409012CC" w14:textId="120F3AB4" w:rsidR="00761683" w:rsidRPr="00C07ACA" w:rsidRDefault="00761683" w:rsidP="00C07ACA">
      <w:pPr>
        <w:pStyle w:val="Prrafodelista"/>
        <w:numPr>
          <w:ilvl w:val="0"/>
          <w:numId w:val="9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Productos Químicos (16,0%):</w:t>
      </w:r>
      <w:r w:rsidRPr="00C07ACA">
        <w:rPr>
          <w:rFonts w:ascii="Cambria" w:hAnsi="Cambria"/>
        </w:rPr>
        <w:t xml:space="preserve"> Aumentaron un 1,3%.</w:t>
      </w:r>
    </w:p>
    <w:p w14:paraId="722DE9F5" w14:textId="22B1CC71" w:rsidR="00761683" w:rsidRPr="00C07ACA" w:rsidRDefault="00761683" w:rsidP="00C07ACA">
      <w:pPr>
        <w:pStyle w:val="Prrafodelista"/>
        <w:numPr>
          <w:ilvl w:val="0"/>
          <w:numId w:val="9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Productos Energéticos (13,8%):</w:t>
      </w:r>
      <w:r w:rsidRPr="00C07ACA">
        <w:rPr>
          <w:rFonts w:ascii="Cambria" w:hAnsi="Cambria"/>
        </w:rPr>
        <w:t xml:space="preserve"> Las importaciones cayeron un </w:t>
      </w:r>
      <w:r w:rsidRPr="00C07ACA">
        <w:rPr>
          <w:rFonts w:ascii="Cambria" w:hAnsi="Cambria"/>
          <w:b/>
          <w:bCs/>
        </w:rPr>
        <w:t>-7,8%</w:t>
      </w:r>
      <w:r w:rsidRPr="00C07ACA">
        <w:rPr>
          <w:rFonts w:ascii="Cambria" w:hAnsi="Cambria"/>
        </w:rPr>
        <w:t xml:space="preserve"> en valor, aliviando la balanza comercial.</w:t>
      </w:r>
    </w:p>
    <w:p w14:paraId="3DC9E150" w14:textId="77777777" w:rsidR="00761683" w:rsidRPr="00C07ACA" w:rsidRDefault="00761683" w:rsidP="00C07AC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07ACA">
        <w:rPr>
          <w:rFonts w:ascii="Cambria" w:hAnsi="Cambria"/>
          <w:b/>
          <w:bCs/>
          <w:color w:val="auto"/>
          <w:sz w:val="28"/>
          <w:szCs w:val="28"/>
        </w:rPr>
        <w:t>3. Distribución Geográfica</w:t>
      </w:r>
    </w:p>
    <w:p w14:paraId="04D580A6" w14:textId="77777777" w:rsidR="00761683" w:rsidRPr="00C07ACA" w:rsidRDefault="00761683" w:rsidP="00C07ACA">
      <w:pPr>
        <w:jc w:val="both"/>
        <w:rPr>
          <w:rFonts w:ascii="Cambria" w:hAnsi="Cambria"/>
        </w:rPr>
      </w:pPr>
      <w:r w:rsidRPr="00C07ACA">
        <w:rPr>
          <w:rFonts w:ascii="Cambria" w:hAnsi="Cambria"/>
        </w:rPr>
        <w:t>España mantiene una fuerte dependencia del mercado europeo, donde presenta superávit, mientras que el déficit se concentra en países terceros (proveedores de energía y tecnología).</w:t>
      </w:r>
    </w:p>
    <w:p w14:paraId="0DB517D4" w14:textId="4497C20F" w:rsidR="00761683" w:rsidRPr="00C07ACA" w:rsidRDefault="00761683" w:rsidP="00C07AC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07ACA">
        <w:rPr>
          <w:rFonts w:ascii="Cambria" w:hAnsi="Cambria"/>
          <w:b/>
          <w:bCs/>
          <w:color w:val="auto"/>
          <w:sz w:val="24"/>
          <w:szCs w:val="24"/>
        </w:rPr>
        <w:t>3.1. Unión Europea</w:t>
      </w:r>
    </w:p>
    <w:p w14:paraId="775FEA57" w14:textId="006044B4" w:rsidR="00761683" w:rsidRPr="00C07ACA" w:rsidRDefault="00761683" w:rsidP="00C07ACA">
      <w:pPr>
        <w:pStyle w:val="Prrafodelista"/>
        <w:numPr>
          <w:ilvl w:val="0"/>
          <w:numId w:val="7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Peso:</w:t>
      </w:r>
      <w:r w:rsidRPr="00C07ACA">
        <w:rPr>
          <w:rFonts w:ascii="Cambria" w:hAnsi="Cambria"/>
        </w:rPr>
        <w:t xml:space="preserve"> Absorbe el </w:t>
      </w:r>
      <w:r w:rsidRPr="00C07ACA">
        <w:rPr>
          <w:rFonts w:ascii="Cambria" w:hAnsi="Cambria"/>
          <w:b/>
          <w:bCs/>
        </w:rPr>
        <w:t>61,8%</w:t>
      </w:r>
      <w:r w:rsidRPr="00C07ACA">
        <w:rPr>
          <w:rFonts w:ascii="Cambria" w:hAnsi="Cambria"/>
        </w:rPr>
        <w:t xml:space="preserve"> de las exportaciones españolas.</w:t>
      </w:r>
    </w:p>
    <w:p w14:paraId="35AE1300" w14:textId="699E3253" w:rsidR="00761683" w:rsidRPr="00C07ACA" w:rsidRDefault="00761683" w:rsidP="00C07ACA">
      <w:pPr>
        <w:pStyle w:val="Prrafodelista"/>
        <w:numPr>
          <w:ilvl w:val="0"/>
          <w:numId w:val="7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Evolución:</w:t>
      </w:r>
      <w:r w:rsidRPr="00C07ACA">
        <w:rPr>
          <w:rFonts w:ascii="Cambria" w:hAnsi="Cambria"/>
        </w:rPr>
        <w:t xml:space="preserve"> Las ventas a la UE cayeron un </w:t>
      </w:r>
      <w:r w:rsidRPr="00C07ACA">
        <w:rPr>
          <w:rFonts w:ascii="Cambria" w:hAnsi="Cambria"/>
          <w:b/>
          <w:bCs/>
        </w:rPr>
        <w:t>-1,1%</w:t>
      </w:r>
      <w:r w:rsidRPr="00C07ACA">
        <w:rPr>
          <w:rFonts w:ascii="Cambria" w:hAnsi="Cambria"/>
        </w:rPr>
        <w:t xml:space="preserve"> en 2024.</w:t>
      </w:r>
    </w:p>
    <w:p w14:paraId="721BC987" w14:textId="38818E15" w:rsidR="00761683" w:rsidRPr="00C07ACA" w:rsidRDefault="00761683" w:rsidP="00C07ACA">
      <w:pPr>
        <w:pStyle w:val="Prrafodelista"/>
        <w:numPr>
          <w:ilvl w:val="0"/>
          <w:numId w:val="7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Saldo:</w:t>
      </w:r>
      <w:r w:rsidRPr="00C07ACA">
        <w:rPr>
          <w:rFonts w:ascii="Cambria" w:hAnsi="Cambria"/>
        </w:rPr>
        <w:t xml:space="preserve"> España tiene un </w:t>
      </w:r>
      <w:r w:rsidRPr="00C07ACA">
        <w:rPr>
          <w:rFonts w:ascii="Cambria" w:hAnsi="Cambria"/>
          <w:b/>
          <w:bCs/>
        </w:rPr>
        <w:t>superávit comercial</w:t>
      </w:r>
      <w:r w:rsidRPr="00C07ACA">
        <w:rPr>
          <w:rFonts w:ascii="Cambria" w:hAnsi="Cambria"/>
        </w:rPr>
        <w:t xml:space="preserve"> con la UE de </w:t>
      </w:r>
      <w:r w:rsidRPr="00C07ACA">
        <w:rPr>
          <w:rFonts w:ascii="Cambria" w:hAnsi="Cambria"/>
          <w:b/>
          <w:bCs/>
        </w:rPr>
        <w:t>+30.285,4 M€</w:t>
      </w:r>
      <w:r w:rsidRPr="00C07ACA">
        <w:rPr>
          <w:rFonts w:ascii="Cambria" w:hAnsi="Cambria"/>
        </w:rPr>
        <w:t>.</w:t>
      </w:r>
    </w:p>
    <w:p w14:paraId="2F0F3AC7" w14:textId="65581755" w:rsidR="00761683" w:rsidRPr="00C07ACA" w:rsidRDefault="00761683" w:rsidP="00C07ACA">
      <w:p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Principales Clientes:</w:t>
      </w:r>
    </w:p>
    <w:p w14:paraId="764EAC25" w14:textId="10A665A1" w:rsidR="00761683" w:rsidRPr="00C07ACA" w:rsidRDefault="00761683" w:rsidP="00C07ACA">
      <w:pPr>
        <w:pStyle w:val="Prrafodelista"/>
        <w:numPr>
          <w:ilvl w:val="0"/>
          <w:numId w:val="5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Francia (15,0%):</w:t>
      </w:r>
      <w:r w:rsidRPr="00C07ACA">
        <w:rPr>
          <w:rFonts w:ascii="Cambria" w:hAnsi="Cambria"/>
        </w:rPr>
        <w:t xml:space="preserve"> Las exportaciones cayeron un -3,9%.</w:t>
      </w:r>
    </w:p>
    <w:p w14:paraId="432F0F10" w14:textId="639BC4B8" w:rsidR="00761683" w:rsidRPr="00C07ACA" w:rsidRDefault="00761683" w:rsidP="00C07ACA">
      <w:pPr>
        <w:pStyle w:val="Prrafodelista"/>
        <w:numPr>
          <w:ilvl w:val="0"/>
          <w:numId w:val="5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Alemania (10,3%):</w:t>
      </w:r>
      <w:r w:rsidRPr="00C07ACA">
        <w:rPr>
          <w:rFonts w:ascii="Cambria" w:hAnsi="Cambria"/>
        </w:rPr>
        <w:t xml:space="preserve"> Las exportaciones cayeron un -1,2%.</w:t>
      </w:r>
    </w:p>
    <w:p w14:paraId="7F61A9F5" w14:textId="47F8A646" w:rsidR="00761683" w:rsidRPr="00C07ACA" w:rsidRDefault="00761683" w:rsidP="00C07ACA">
      <w:pPr>
        <w:pStyle w:val="Prrafodelista"/>
        <w:numPr>
          <w:ilvl w:val="0"/>
          <w:numId w:val="5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Italia (8,7%):</w:t>
      </w:r>
      <w:r w:rsidRPr="00C07ACA">
        <w:rPr>
          <w:rFonts w:ascii="Cambria" w:hAnsi="Cambria"/>
        </w:rPr>
        <w:t xml:space="preserve"> Crecimiento ligero del +0,9%.</w:t>
      </w:r>
    </w:p>
    <w:p w14:paraId="60C21157" w14:textId="7B5DE9B6" w:rsidR="00761683" w:rsidRPr="00C07ACA" w:rsidRDefault="00761683" w:rsidP="00C07ACA">
      <w:pPr>
        <w:pStyle w:val="Prrafodelista"/>
        <w:numPr>
          <w:ilvl w:val="0"/>
          <w:numId w:val="5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Portugal (8,5%):</w:t>
      </w:r>
      <w:r w:rsidRPr="00C07ACA">
        <w:rPr>
          <w:rFonts w:ascii="Cambria" w:hAnsi="Cambria"/>
        </w:rPr>
        <w:t xml:space="preserve"> Aumento del +2,2%.</w:t>
      </w:r>
    </w:p>
    <w:p w14:paraId="102021D5" w14:textId="0EC50204" w:rsidR="00761683" w:rsidRPr="00C07ACA" w:rsidRDefault="00761683" w:rsidP="00C07AC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07ACA">
        <w:rPr>
          <w:rFonts w:ascii="Cambria" w:hAnsi="Cambria"/>
          <w:b/>
          <w:bCs/>
          <w:color w:val="auto"/>
          <w:sz w:val="24"/>
          <w:szCs w:val="24"/>
        </w:rPr>
        <w:t xml:space="preserve">3.2. </w:t>
      </w:r>
      <w:r w:rsidRPr="00C07ACA">
        <w:rPr>
          <w:rFonts w:ascii="Cambria" w:hAnsi="Cambria"/>
          <w:b/>
          <w:bCs/>
          <w:color w:val="auto"/>
          <w:sz w:val="24"/>
          <w:szCs w:val="24"/>
        </w:rPr>
        <w:t xml:space="preserve">Países </w:t>
      </w:r>
      <w:proofErr w:type="gramStart"/>
      <w:r w:rsidRPr="00C07ACA">
        <w:rPr>
          <w:rFonts w:ascii="Cambria" w:hAnsi="Cambria"/>
          <w:b/>
          <w:bCs/>
          <w:color w:val="auto"/>
          <w:sz w:val="24"/>
          <w:szCs w:val="24"/>
        </w:rPr>
        <w:t>Extra UE</w:t>
      </w:r>
      <w:proofErr w:type="gramEnd"/>
    </w:p>
    <w:p w14:paraId="3BBE9915" w14:textId="7708C065" w:rsidR="00761683" w:rsidRPr="00C07ACA" w:rsidRDefault="00761683" w:rsidP="00C07ACA">
      <w:pPr>
        <w:pStyle w:val="Prrafodelista"/>
        <w:numPr>
          <w:ilvl w:val="0"/>
          <w:numId w:val="15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Peso:</w:t>
      </w:r>
      <w:r w:rsidRPr="00C07ACA">
        <w:rPr>
          <w:rFonts w:ascii="Cambria" w:hAnsi="Cambria"/>
        </w:rPr>
        <w:t xml:space="preserve"> Representan el </w:t>
      </w:r>
      <w:r w:rsidRPr="00C07ACA">
        <w:rPr>
          <w:rFonts w:ascii="Cambria" w:hAnsi="Cambria"/>
          <w:b/>
          <w:bCs/>
        </w:rPr>
        <w:t>38,2%</w:t>
      </w:r>
      <w:r w:rsidRPr="00C07ACA">
        <w:rPr>
          <w:rFonts w:ascii="Cambria" w:hAnsi="Cambria"/>
        </w:rPr>
        <w:t xml:space="preserve"> de las exportaciones.</w:t>
      </w:r>
    </w:p>
    <w:p w14:paraId="1A039705" w14:textId="0D1CFEB7" w:rsidR="00761683" w:rsidRPr="00C07ACA" w:rsidRDefault="00761683" w:rsidP="00C07ACA">
      <w:pPr>
        <w:pStyle w:val="Prrafodelista"/>
        <w:numPr>
          <w:ilvl w:val="0"/>
          <w:numId w:val="15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Evolución:</w:t>
      </w:r>
      <w:r w:rsidRPr="00C07ACA">
        <w:rPr>
          <w:rFonts w:ascii="Cambria" w:hAnsi="Cambria"/>
        </w:rPr>
        <w:t xml:space="preserve"> Comportamiento más dinámico que la UE, con un crecimiento del </w:t>
      </w:r>
      <w:r w:rsidRPr="00C07ACA">
        <w:rPr>
          <w:rFonts w:ascii="Cambria" w:hAnsi="Cambria"/>
          <w:b/>
          <w:bCs/>
        </w:rPr>
        <w:t>+2,4%</w:t>
      </w:r>
      <w:r w:rsidRPr="00C07ACA">
        <w:rPr>
          <w:rFonts w:ascii="Cambria" w:hAnsi="Cambria"/>
        </w:rPr>
        <w:t>.</w:t>
      </w:r>
    </w:p>
    <w:p w14:paraId="16C54CDF" w14:textId="3D5F4FC5" w:rsidR="00761683" w:rsidRPr="00C07ACA" w:rsidRDefault="00761683" w:rsidP="00C07ACA">
      <w:pPr>
        <w:pStyle w:val="Prrafodelista"/>
        <w:numPr>
          <w:ilvl w:val="0"/>
          <w:numId w:val="15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Saldo:</w:t>
      </w:r>
      <w:r w:rsidRPr="00C07ACA">
        <w:rPr>
          <w:rFonts w:ascii="Cambria" w:hAnsi="Cambria"/>
        </w:rPr>
        <w:t xml:space="preserve"> Fuerte </w:t>
      </w:r>
      <w:r w:rsidRPr="00C07ACA">
        <w:rPr>
          <w:rFonts w:ascii="Cambria" w:hAnsi="Cambria"/>
          <w:b/>
          <w:bCs/>
        </w:rPr>
        <w:t>déficit comercial</w:t>
      </w:r>
      <w:r w:rsidRPr="00C07ACA">
        <w:rPr>
          <w:rFonts w:ascii="Cambria" w:hAnsi="Cambria"/>
        </w:rPr>
        <w:t xml:space="preserve"> de </w:t>
      </w:r>
      <w:r w:rsidRPr="00C07ACA">
        <w:rPr>
          <w:rFonts w:ascii="Cambria" w:hAnsi="Cambria"/>
          <w:b/>
          <w:bCs/>
        </w:rPr>
        <w:t>-70.561,2 M€</w:t>
      </w:r>
      <w:r w:rsidRPr="00C07ACA">
        <w:rPr>
          <w:rFonts w:ascii="Cambria" w:hAnsi="Cambria"/>
        </w:rPr>
        <w:t xml:space="preserve"> (energía y manufacturas asiáticas).</w:t>
      </w:r>
    </w:p>
    <w:p w14:paraId="2A22C760" w14:textId="6F58656B" w:rsidR="00761683" w:rsidRPr="00C07ACA" w:rsidRDefault="00761683" w:rsidP="00C07ACA">
      <w:p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lastRenderedPageBreak/>
        <w:t>Destacados:</w:t>
      </w:r>
    </w:p>
    <w:p w14:paraId="134788D7" w14:textId="6FBA17B6" w:rsidR="00761683" w:rsidRPr="00C07ACA" w:rsidRDefault="00761683" w:rsidP="00C07ACA">
      <w:pPr>
        <w:pStyle w:val="Prrafodelista"/>
        <w:numPr>
          <w:ilvl w:val="0"/>
          <w:numId w:val="16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Reino Unido:</w:t>
      </w:r>
      <w:r w:rsidRPr="00C07ACA">
        <w:rPr>
          <w:rFonts w:ascii="Cambria" w:hAnsi="Cambria"/>
        </w:rPr>
        <w:t xml:space="preserve"> Las exportaciones crecieron un </w:t>
      </w:r>
      <w:r w:rsidRPr="00C07ACA">
        <w:rPr>
          <w:rFonts w:ascii="Cambria" w:hAnsi="Cambria"/>
          <w:b/>
          <w:bCs/>
        </w:rPr>
        <w:t>+5,7%</w:t>
      </w:r>
      <w:r w:rsidRPr="00C07ACA">
        <w:rPr>
          <w:rFonts w:ascii="Cambria" w:hAnsi="Cambria"/>
        </w:rPr>
        <w:t>.</w:t>
      </w:r>
    </w:p>
    <w:p w14:paraId="3A596737" w14:textId="4246D249" w:rsidR="00761683" w:rsidRPr="00C07ACA" w:rsidRDefault="00761683" w:rsidP="00C07ACA">
      <w:pPr>
        <w:pStyle w:val="Prrafodelista"/>
        <w:numPr>
          <w:ilvl w:val="0"/>
          <w:numId w:val="16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Estados Unidos:</w:t>
      </w:r>
      <w:r w:rsidRPr="00C07ACA">
        <w:rPr>
          <w:rFonts w:ascii="Cambria" w:hAnsi="Cambria"/>
        </w:rPr>
        <w:t xml:space="preserve"> Caída de exportaciones del </w:t>
      </w:r>
      <w:r w:rsidRPr="00C07ACA">
        <w:rPr>
          <w:rFonts w:ascii="Cambria" w:hAnsi="Cambria"/>
          <w:b/>
          <w:bCs/>
        </w:rPr>
        <w:t>-3,8%</w:t>
      </w:r>
      <w:r w:rsidRPr="00C07ACA">
        <w:rPr>
          <w:rFonts w:ascii="Cambria" w:hAnsi="Cambria"/>
        </w:rPr>
        <w:t>.</w:t>
      </w:r>
    </w:p>
    <w:p w14:paraId="12D96AEC" w14:textId="2EFABB43" w:rsidR="00761683" w:rsidRPr="00C07ACA" w:rsidRDefault="00761683" w:rsidP="00C07ACA">
      <w:pPr>
        <w:pStyle w:val="Prrafodelista"/>
        <w:numPr>
          <w:ilvl w:val="0"/>
          <w:numId w:val="16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China:</w:t>
      </w:r>
      <w:r w:rsidRPr="00C07ACA">
        <w:rPr>
          <w:rFonts w:ascii="Cambria" w:hAnsi="Cambria"/>
        </w:rPr>
        <w:t xml:space="preserve"> Las exportaciones cayeron un </w:t>
      </w:r>
      <w:r w:rsidRPr="00C07ACA">
        <w:rPr>
          <w:rFonts w:ascii="Cambria" w:hAnsi="Cambria"/>
          <w:b/>
          <w:bCs/>
        </w:rPr>
        <w:t>-1,5%</w:t>
      </w:r>
      <w:r w:rsidRPr="00C07ACA">
        <w:rPr>
          <w:rFonts w:ascii="Cambria" w:hAnsi="Cambria"/>
        </w:rPr>
        <w:t>, con un déficit bilateral masivo de -37.706 M€.</w:t>
      </w:r>
    </w:p>
    <w:p w14:paraId="39E78D37" w14:textId="5CF7EB65" w:rsidR="00761683" w:rsidRPr="00C07ACA" w:rsidRDefault="00761683" w:rsidP="00C07ACA">
      <w:pPr>
        <w:pStyle w:val="Prrafodelista"/>
        <w:numPr>
          <w:ilvl w:val="0"/>
          <w:numId w:val="16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Marruecos:</w:t>
      </w:r>
      <w:r w:rsidRPr="00C07ACA">
        <w:rPr>
          <w:rFonts w:ascii="Cambria" w:hAnsi="Cambria"/>
        </w:rPr>
        <w:t xml:space="preserve"> Buen comportamiento con un alza del </w:t>
      </w:r>
      <w:r w:rsidRPr="00C07ACA">
        <w:rPr>
          <w:rFonts w:ascii="Cambria" w:hAnsi="Cambria"/>
          <w:b/>
          <w:bCs/>
        </w:rPr>
        <w:t>+5,9%</w:t>
      </w:r>
      <w:r w:rsidRPr="00C07ACA">
        <w:rPr>
          <w:rFonts w:ascii="Cambria" w:hAnsi="Cambria"/>
        </w:rPr>
        <w:t xml:space="preserve"> en exportaciones.</w:t>
      </w:r>
    </w:p>
    <w:p w14:paraId="2A07EDB1" w14:textId="77777777" w:rsidR="00761683" w:rsidRPr="00C07ACA" w:rsidRDefault="00761683" w:rsidP="00C07AC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C07ACA">
        <w:rPr>
          <w:rFonts w:ascii="Cambria" w:hAnsi="Cambria"/>
          <w:b/>
          <w:bCs/>
          <w:color w:val="auto"/>
          <w:sz w:val="28"/>
          <w:szCs w:val="28"/>
        </w:rPr>
        <w:t>5. La Base Exportadora</w:t>
      </w:r>
    </w:p>
    <w:p w14:paraId="0D3676AC" w14:textId="77777777" w:rsidR="00761683" w:rsidRPr="00C07ACA" w:rsidRDefault="00761683" w:rsidP="00C07ACA">
      <w:pPr>
        <w:jc w:val="both"/>
        <w:rPr>
          <w:rFonts w:ascii="Cambria" w:hAnsi="Cambria"/>
        </w:rPr>
      </w:pPr>
      <w:r w:rsidRPr="00C07ACA">
        <w:rPr>
          <w:rFonts w:ascii="Cambria" w:hAnsi="Cambria"/>
        </w:rPr>
        <w:t>Uno de los indicadores estructurales más importantes es la cantidad y estabilidad de las empresas que venden al exterior.</w:t>
      </w:r>
    </w:p>
    <w:p w14:paraId="7D735004" w14:textId="77777777" w:rsidR="00761683" w:rsidRPr="00C07ACA" w:rsidRDefault="00761683" w:rsidP="00C07AC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C07ACA">
        <w:rPr>
          <w:rFonts w:ascii="Cambria" w:hAnsi="Cambria"/>
          <w:b/>
          <w:bCs/>
          <w:color w:val="auto"/>
          <w:sz w:val="24"/>
          <w:szCs w:val="24"/>
        </w:rPr>
        <w:t>5.1. Número de Exportadores</w:t>
      </w:r>
    </w:p>
    <w:p w14:paraId="6FA64A50" w14:textId="77777777" w:rsidR="00222690" w:rsidRPr="00C07ACA" w:rsidRDefault="00761683" w:rsidP="00C07ACA">
      <w:pPr>
        <w:pStyle w:val="Prrafodelista"/>
        <w:numPr>
          <w:ilvl w:val="0"/>
          <w:numId w:val="20"/>
        </w:numPr>
        <w:jc w:val="both"/>
        <w:rPr>
          <w:rFonts w:ascii="Cambria" w:hAnsi="Cambria"/>
        </w:rPr>
      </w:pPr>
      <w:proofErr w:type="gramStart"/>
      <w:r w:rsidRPr="00C07ACA">
        <w:rPr>
          <w:rFonts w:ascii="Cambria" w:hAnsi="Cambria"/>
          <w:b/>
          <w:bCs/>
        </w:rPr>
        <w:t>Total</w:t>
      </w:r>
      <w:proofErr w:type="gramEnd"/>
      <w:r w:rsidRPr="00C07ACA">
        <w:rPr>
          <w:rFonts w:ascii="Cambria" w:hAnsi="Cambria"/>
          <w:b/>
          <w:bCs/>
        </w:rPr>
        <w:t xml:space="preserve"> de exportadores:</w:t>
      </w:r>
      <w:r w:rsidRPr="00C07ACA">
        <w:rPr>
          <w:rFonts w:ascii="Cambria" w:hAnsi="Cambria"/>
        </w:rPr>
        <w:t xml:space="preserve"> 132.412 empresas. Se redujo un </w:t>
      </w:r>
      <w:r w:rsidRPr="00C07ACA">
        <w:rPr>
          <w:rFonts w:ascii="Cambria" w:hAnsi="Cambria"/>
          <w:b/>
          <w:bCs/>
        </w:rPr>
        <w:t>-3,7%</w:t>
      </w:r>
      <w:r w:rsidRPr="00C07ACA">
        <w:rPr>
          <w:rFonts w:ascii="Cambria" w:hAnsi="Cambria"/>
        </w:rPr>
        <w:t xml:space="preserve"> respecto a 2023.</w:t>
      </w:r>
    </w:p>
    <w:p w14:paraId="42B7629D" w14:textId="389CBA5D" w:rsidR="00761683" w:rsidRPr="00C07ACA" w:rsidRDefault="00761683" w:rsidP="00C07ACA">
      <w:pPr>
        <w:pStyle w:val="Prrafodelista"/>
        <w:numPr>
          <w:ilvl w:val="0"/>
          <w:numId w:val="20"/>
        </w:numPr>
        <w:jc w:val="both"/>
        <w:rPr>
          <w:rFonts w:ascii="Cambria" w:hAnsi="Cambria"/>
        </w:rPr>
      </w:pPr>
      <w:r w:rsidRPr="00C07ACA">
        <w:rPr>
          <w:rFonts w:ascii="Cambria" w:hAnsi="Cambria"/>
        </w:rPr>
        <w:t>Esta caída se da principalmente en exportadores ocasionales de importes muy bajos (&lt;50.000€).</w:t>
      </w:r>
    </w:p>
    <w:p w14:paraId="3ECBCCF4" w14:textId="66935B8F" w:rsidR="00761683" w:rsidRPr="00C07ACA" w:rsidRDefault="00761683" w:rsidP="00C07ACA">
      <w:p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5.2. Exportadores Regulares</w:t>
      </w:r>
    </w:p>
    <w:p w14:paraId="104EEDEA" w14:textId="079D7630" w:rsidR="00761683" w:rsidRPr="00C07ACA" w:rsidRDefault="00761683" w:rsidP="00C07ACA">
      <w:pPr>
        <w:jc w:val="both"/>
        <w:rPr>
          <w:rFonts w:ascii="Cambria" w:hAnsi="Cambria"/>
        </w:rPr>
      </w:pPr>
      <w:r w:rsidRPr="00C07ACA">
        <w:rPr>
          <w:rFonts w:ascii="Cambria" w:hAnsi="Cambria"/>
        </w:rPr>
        <w:t>Se consideran regulares quienes han exportado en el año de referencia y en los tres precedentes de forma consecutiva.</w:t>
      </w:r>
    </w:p>
    <w:p w14:paraId="3F09EB6C" w14:textId="45D169B1" w:rsidR="00761683" w:rsidRPr="00C07ACA" w:rsidRDefault="00761683" w:rsidP="00C07ACA">
      <w:pPr>
        <w:pStyle w:val="Prrafodelista"/>
        <w:numPr>
          <w:ilvl w:val="0"/>
          <w:numId w:val="17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Número:</w:t>
      </w:r>
      <w:r w:rsidRPr="00C07ACA">
        <w:rPr>
          <w:rFonts w:ascii="Cambria" w:hAnsi="Cambria"/>
        </w:rPr>
        <w:t xml:space="preserve"> </w:t>
      </w:r>
      <w:r w:rsidRPr="00C07ACA">
        <w:rPr>
          <w:rFonts w:ascii="Cambria" w:hAnsi="Cambria"/>
          <w:b/>
          <w:bCs/>
        </w:rPr>
        <w:t>54.575 empresas regulares</w:t>
      </w:r>
      <w:r w:rsidRPr="00C07ACA">
        <w:rPr>
          <w:rFonts w:ascii="Cambria" w:hAnsi="Cambria"/>
        </w:rPr>
        <w:t>.</w:t>
      </w:r>
    </w:p>
    <w:p w14:paraId="7A9957A9" w14:textId="4D9D5ED0" w:rsidR="00761683" w:rsidRPr="00C07ACA" w:rsidRDefault="00761683" w:rsidP="00C07ACA">
      <w:pPr>
        <w:pStyle w:val="Prrafodelista"/>
        <w:numPr>
          <w:ilvl w:val="0"/>
          <w:numId w:val="17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Evolución:</w:t>
      </w:r>
      <w:r w:rsidRPr="00C07ACA">
        <w:rPr>
          <w:rFonts w:ascii="Cambria" w:hAnsi="Cambria"/>
        </w:rPr>
        <w:t xml:space="preserve"> Creció un </w:t>
      </w:r>
      <w:r w:rsidRPr="00C07ACA">
        <w:rPr>
          <w:rFonts w:ascii="Cambria" w:hAnsi="Cambria"/>
          <w:b/>
          <w:bCs/>
        </w:rPr>
        <w:t>+3,4%</w:t>
      </w:r>
      <w:r w:rsidRPr="00C07ACA">
        <w:rPr>
          <w:rFonts w:ascii="Cambria" w:hAnsi="Cambria"/>
        </w:rPr>
        <w:t xml:space="preserve"> en 2024, alcanzando un máximo histórico.</w:t>
      </w:r>
    </w:p>
    <w:p w14:paraId="67C4EEE5" w14:textId="460BF560" w:rsidR="00761683" w:rsidRPr="00C07ACA" w:rsidRDefault="00761683" w:rsidP="00C07ACA">
      <w:pPr>
        <w:pStyle w:val="Prrafodelista"/>
        <w:numPr>
          <w:ilvl w:val="0"/>
          <w:numId w:val="17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Importancia:</w:t>
      </w:r>
      <w:r w:rsidRPr="00C07ACA">
        <w:rPr>
          <w:rFonts w:ascii="Cambria" w:hAnsi="Cambria"/>
        </w:rPr>
        <w:t xml:space="preserve"> Los exportadores regulares, aunque son menos en número (aprox. 41% del total), son responsables del </w:t>
      </w:r>
      <w:r w:rsidRPr="00C07ACA">
        <w:rPr>
          <w:rFonts w:ascii="Cambria" w:hAnsi="Cambria"/>
          <w:b/>
          <w:bCs/>
        </w:rPr>
        <w:t>93,5% del valor total exportado</w:t>
      </w:r>
      <w:r w:rsidRPr="00C07ACA">
        <w:rPr>
          <w:rFonts w:ascii="Cambria" w:hAnsi="Cambria"/>
        </w:rPr>
        <w:t xml:space="preserve">. Esto indica una </w:t>
      </w:r>
      <w:r w:rsidRPr="00C07ACA">
        <w:rPr>
          <w:rFonts w:ascii="Cambria" w:hAnsi="Cambria"/>
          <w:b/>
          <w:bCs/>
        </w:rPr>
        <w:t>consolidación y profesionalización</w:t>
      </w:r>
      <w:r w:rsidRPr="00C07ACA">
        <w:rPr>
          <w:rFonts w:ascii="Cambria" w:hAnsi="Cambria"/>
        </w:rPr>
        <w:t xml:space="preserve"> del sector exterior español.</w:t>
      </w:r>
    </w:p>
    <w:p w14:paraId="6DDE5F6F" w14:textId="73E571EA" w:rsidR="00761683" w:rsidRPr="00C07ACA" w:rsidRDefault="00761683" w:rsidP="00C07ACA">
      <w:pPr>
        <w:pStyle w:val="Ttulo1"/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  <w:color w:val="auto"/>
          <w:sz w:val="28"/>
          <w:szCs w:val="28"/>
        </w:rPr>
        <w:t>6. Resumen de Ideas Clave</w:t>
      </w:r>
    </w:p>
    <w:p w14:paraId="0700174B" w14:textId="1FA090E0" w:rsidR="00761683" w:rsidRPr="00C07ACA" w:rsidRDefault="00761683" w:rsidP="00C07ACA">
      <w:pPr>
        <w:pStyle w:val="Prrafodelista"/>
        <w:numPr>
          <w:ilvl w:val="0"/>
          <w:numId w:val="18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Estabilidad en máximos:</w:t>
      </w:r>
      <w:r w:rsidRPr="00C07ACA">
        <w:rPr>
          <w:rFonts w:ascii="Cambria" w:hAnsi="Cambria"/>
        </w:rPr>
        <w:t xml:space="preserve"> En 2024, el sector exterior no creció fuertemente en volumen, pero mantuvo los niveles récord de exportación logrados tras la pandemia (+0,2%).</w:t>
      </w:r>
    </w:p>
    <w:p w14:paraId="298A565D" w14:textId="15302D1D" w:rsidR="00761683" w:rsidRPr="00C07ACA" w:rsidRDefault="00761683" w:rsidP="00C07ACA">
      <w:pPr>
        <w:pStyle w:val="Prrafodelista"/>
        <w:numPr>
          <w:ilvl w:val="0"/>
          <w:numId w:val="18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Corrección del Déficit:</w:t>
      </w:r>
      <w:r w:rsidRPr="00C07ACA">
        <w:rPr>
          <w:rFonts w:ascii="Cambria" w:hAnsi="Cambria"/>
        </w:rPr>
        <w:t xml:space="preserve"> El déficit comercial se mantiene alto (-40.275 M€) pero contenido gracias al abaratamiento de la energía. El déficit no energético empeoró.</w:t>
      </w:r>
    </w:p>
    <w:p w14:paraId="3B1FF784" w14:textId="62998EC7" w:rsidR="00761683" w:rsidRPr="00C07ACA" w:rsidRDefault="00761683" w:rsidP="00C07ACA">
      <w:pPr>
        <w:pStyle w:val="Prrafodelista"/>
        <w:numPr>
          <w:ilvl w:val="0"/>
          <w:numId w:val="18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Fortaleza Alimentaria:</w:t>
      </w:r>
      <w:r w:rsidRPr="00C07ACA">
        <w:rPr>
          <w:rFonts w:ascii="Cambria" w:hAnsi="Cambria"/>
        </w:rPr>
        <w:t xml:space="preserve"> Mientras el automóvil y la energía cayeron, el sector agroalimentario actuó como motor de crecimiento (+6,8%).</w:t>
      </w:r>
    </w:p>
    <w:p w14:paraId="5467529A" w14:textId="586A8C67" w:rsidR="00761683" w:rsidRPr="00C07ACA" w:rsidRDefault="00761683" w:rsidP="00C07ACA">
      <w:pPr>
        <w:pStyle w:val="Prrafodelista"/>
        <w:numPr>
          <w:ilvl w:val="0"/>
          <w:numId w:val="18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t>Dependencia Europea:</w:t>
      </w:r>
      <w:r w:rsidRPr="00C07ACA">
        <w:rPr>
          <w:rFonts w:ascii="Cambria" w:hAnsi="Cambria"/>
        </w:rPr>
        <w:t xml:space="preserve"> 6 de cada 10 euros exportados van a la UE, donde España es competitiva (superávit). El déficit estructural viene de fuera de la UE (Asia/Energía).</w:t>
      </w:r>
    </w:p>
    <w:p w14:paraId="1AD8BB02" w14:textId="1E5FD17F" w:rsidR="00761683" w:rsidRPr="00C07ACA" w:rsidRDefault="00761683" w:rsidP="00C07ACA">
      <w:pPr>
        <w:pStyle w:val="Prrafodelista"/>
        <w:numPr>
          <w:ilvl w:val="0"/>
          <w:numId w:val="18"/>
        </w:numPr>
        <w:jc w:val="both"/>
        <w:rPr>
          <w:rFonts w:ascii="Cambria" w:hAnsi="Cambria"/>
        </w:rPr>
      </w:pPr>
      <w:r w:rsidRPr="00C07ACA">
        <w:rPr>
          <w:rFonts w:ascii="Cambria" w:hAnsi="Cambria"/>
          <w:b/>
          <w:bCs/>
        </w:rPr>
        <w:lastRenderedPageBreak/>
        <w:t>Consolidación Empresarial:</w:t>
      </w:r>
      <w:r w:rsidRPr="00C07ACA">
        <w:rPr>
          <w:rFonts w:ascii="Cambria" w:hAnsi="Cambria"/>
        </w:rPr>
        <w:t xml:space="preserve"> Aunque hay menos empresas exportando en total, hay más empresas </w:t>
      </w:r>
      <w:r w:rsidRPr="00C07ACA">
        <w:rPr>
          <w:rFonts w:ascii="Cambria" w:hAnsi="Cambria"/>
          <w:b/>
          <w:bCs/>
        </w:rPr>
        <w:t>regulares</w:t>
      </w:r>
      <w:r w:rsidRPr="00C07ACA">
        <w:rPr>
          <w:rFonts w:ascii="Cambria" w:hAnsi="Cambria"/>
        </w:rPr>
        <w:t xml:space="preserve"> (+3,4%), lo que sugiere que el tejido exportador es más robusto y menos volátil.</w:t>
      </w:r>
    </w:p>
    <w:p w14:paraId="6C33DC4A" w14:textId="77777777" w:rsidR="00A65383" w:rsidRPr="00C07ACA" w:rsidRDefault="00A65383" w:rsidP="00C07ACA">
      <w:pPr>
        <w:jc w:val="both"/>
        <w:rPr>
          <w:rFonts w:ascii="Cambria" w:hAnsi="Cambria"/>
        </w:rPr>
      </w:pPr>
    </w:p>
    <w:sectPr w:rsidR="00A65383" w:rsidRPr="00C07ACA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C6937" w14:textId="77777777" w:rsidR="00761683" w:rsidRDefault="00761683" w:rsidP="00761683">
      <w:pPr>
        <w:spacing w:after="0" w:line="240" w:lineRule="auto"/>
      </w:pPr>
      <w:r>
        <w:separator/>
      </w:r>
    </w:p>
  </w:endnote>
  <w:endnote w:type="continuationSeparator" w:id="0">
    <w:p w14:paraId="0D206F7C" w14:textId="77777777" w:rsidR="00761683" w:rsidRDefault="00761683" w:rsidP="00761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7BD39" w14:textId="77777777" w:rsidR="00761683" w:rsidRDefault="00761683" w:rsidP="00761683">
      <w:pPr>
        <w:spacing w:after="0" w:line="240" w:lineRule="auto"/>
      </w:pPr>
      <w:r>
        <w:separator/>
      </w:r>
    </w:p>
  </w:footnote>
  <w:footnote w:type="continuationSeparator" w:id="0">
    <w:p w14:paraId="1817DBBD" w14:textId="77777777" w:rsidR="00761683" w:rsidRDefault="00761683" w:rsidP="00761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7AAAC" w14:textId="623B76A6" w:rsidR="00761683" w:rsidRPr="00761683" w:rsidRDefault="00761683" w:rsidP="00761683">
    <w:pPr>
      <w:pStyle w:val="Encabezado"/>
      <w:jc w:val="both"/>
      <w:rPr>
        <w:rFonts w:ascii="Palatino Linotype" w:hAnsi="Palatino Linotype"/>
        <w:i/>
        <w:iCs/>
      </w:rPr>
    </w:pPr>
    <w:r w:rsidRPr="00761683">
      <w:rPr>
        <w:rFonts w:ascii="Palatino Linotype" w:hAnsi="Palatino Linotype"/>
        <w:b/>
        <w:bCs/>
        <w:i/>
        <w:iCs/>
      </w:rPr>
      <w:t>TEMA 3 -</w:t>
    </w:r>
    <w:r w:rsidRPr="00761683">
      <w:rPr>
        <w:rFonts w:ascii="Palatino Linotype" w:hAnsi="Palatino Linotype"/>
        <w:i/>
        <w:iCs/>
      </w:rPr>
      <w:t xml:space="preserve"> </w:t>
    </w:r>
    <w:r w:rsidRPr="00761683">
      <w:rPr>
        <w:rFonts w:ascii="Palatino Linotype" w:hAnsi="Palatino Linotype"/>
        <w:i/>
        <w:iCs/>
      </w:rPr>
      <w:t>El comercio exterior español: Principales rasgos. La exportación y la importación españolas: índices representativos, estructura sectorial, destinos principales, tendencia evolutiva y perspectivas futuras.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984"/>
    <w:multiLevelType w:val="hybridMultilevel"/>
    <w:tmpl w:val="39643C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792994"/>
    <w:multiLevelType w:val="hybridMultilevel"/>
    <w:tmpl w:val="786EA31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A50FAE"/>
    <w:multiLevelType w:val="hybridMultilevel"/>
    <w:tmpl w:val="D80CE9C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50E84"/>
    <w:multiLevelType w:val="hybridMultilevel"/>
    <w:tmpl w:val="092AE8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E46F94"/>
    <w:multiLevelType w:val="hybridMultilevel"/>
    <w:tmpl w:val="8C58A1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C02F00"/>
    <w:multiLevelType w:val="hybridMultilevel"/>
    <w:tmpl w:val="B0309B3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436A27"/>
    <w:multiLevelType w:val="hybridMultilevel"/>
    <w:tmpl w:val="326CA3F8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56C67FB"/>
    <w:multiLevelType w:val="hybridMultilevel"/>
    <w:tmpl w:val="9C3E7560"/>
    <w:lvl w:ilvl="0" w:tplc="36C45830">
      <w:start w:val="2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6301F"/>
    <w:multiLevelType w:val="hybridMultilevel"/>
    <w:tmpl w:val="AC6676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5E0275"/>
    <w:multiLevelType w:val="hybridMultilevel"/>
    <w:tmpl w:val="DFC4DC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297A74"/>
    <w:multiLevelType w:val="hybridMultilevel"/>
    <w:tmpl w:val="B8AC16D2"/>
    <w:lvl w:ilvl="0" w:tplc="6B4A799C">
      <w:start w:val="4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AD7F4A"/>
    <w:multiLevelType w:val="hybridMultilevel"/>
    <w:tmpl w:val="2E4C6730"/>
    <w:lvl w:ilvl="0" w:tplc="51BABE7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7D233C"/>
    <w:multiLevelType w:val="hybridMultilevel"/>
    <w:tmpl w:val="C3D2DEF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C83564"/>
    <w:multiLevelType w:val="hybridMultilevel"/>
    <w:tmpl w:val="D92CE7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AD7B10"/>
    <w:multiLevelType w:val="hybridMultilevel"/>
    <w:tmpl w:val="C898FCA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E56287"/>
    <w:multiLevelType w:val="hybridMultilevel"/>
    <w:tmpl w:val="564E45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E82CDB"/>
    <w:multiLevelType w:val="hybridMultilevel"/>
    <w:tmpl w:val="04EE6238"/>
    <w:lvl w:ilvl="0" w:tplc="CA8A9404">
      <w:start w:val="1"/>
      <w:numFmt w:val="decimal"/>
      <w:lvlText w:val="%1."/>
      <w:lvlJc w:val="left"/>
      <w:pPr>
        <w:ind w:left="55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75" w:hanging="360"/>
      </w:pPr>
    </w:lvl>
    <w:lvl w:ilvl="2" w:tplc="0C0A001B" w:tentative="1">
      <w:start w:val="1"/>
      <w:numFmt w:val="lowerRoman"/>
      <w:lvlText w:val="%3."/>
      <w:lvlJc w:val="right"/>
      <w:pPr>
        <w:ind w:left="1995" w:hanging="180"/>
      </w:pPr>
    </w:lvl>
    <w:lvl w:ilvl="3" w:tplc="0C0A000F" w:tentative="1">
      <w:start w:val="1"/>
      <w:numFmt w:val="decimal"/>
      <w:lvlText w:val="%4."/>
      <w:lvlJc w:val="left"/>
      <w:pPr>
        <w:ind w:left="2715" w:hanging="360"/>
      </w:pPr>
    </w:lvl>
    <w:lvl w:ilvl="4" w:tplc="0C0A0019" w:tentative="1">
      <w:start w:val="1"/>
      <w:numFmt w:val="lowerLetter"/>
      <w:lvlText w:val="%5."/>
      <w:lvlJc w:val="left"/>
      <w:pPr>
        <w:ind w:left="3435" w:hanging="360"/>
      </w:pPr>
    </w:lvl>
    <w:lvl w:ilvl="5" w:tplc="0C0A001B" w:tentative="1">
      <w:start w:val="1"/>
      <w:numFmt w:val="lowerRoman"/>
      <w:lvlText w:val="%6."/>
      <w:lvlJc w:val="right"/>
      <w:pPr>
        <w:ind w:left="4155" w:hanging="180"/>
      </w:pPr>
    </w:lvl>
    <w:lvl w:ilvl="6" w:tplc="0C0A000F" w:tentative="1">
      <w:start w:val="1"/>
      <w:numFmt w:val="decimal"/>
      <w:lvlText w:val="%7."/>
      <w:lvlJc w:val="left"/>
      <w:pPr>
        <w:ind w:left="4875" w:hanging="360"/>
      </w:pPr>
    </w:lvl>
    <w:lvl w:ilvl="7" w:tplc="0C0A0019" w:tentative="1">
      <w:start w:val="1"/>
      <w:numFmt w:val="lowerLetter"/>
      <w:lvlText w:val="%8."/>
      <w:lvlJc w:val="left"/>
      <w:pPr>
        <w:ind w:left="5595" w:hanging="360"/>
      </w:pPr>
    </w:lvl>
    <w:lvl w:ilvl="8" w:tplc="0C0A001B" w:tentative="1">
      <w:start w:val="1"/>
      <w:numFmt w:val="lowerRoman"/>
      <w:lvlText w:val="%9."/>
      <w:lvlJc w:val="right"/>
      <w:pPr>
        <w:ind w:left="6315" w:hanging="180"/>
      </w:pPr>
    </w:lvl>
  </w:abstractNum>
  <w:abstractNum w:abstractNumId="17" w15:restartNumberingAfterBreak="0">
    <w:nsid w:val="776A6349"/>
    <w:multiLevelType w:val="hybridMultilevel"/>
    <w:tmpl w:val="350461E8"/>
    <w:lvl w:ilvl="0" w:tplc="AC34C71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9C39F7"/>
    <w:multiLevelType w:val="hybridMultilevel"/>
    <w:tmpl w:val="5E1832F2"/>
    <w:lvl w:ilvl="0" w:tplc="D7BE5460">
      <w:start w:val="4"/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9C4D90"/>
    <w:multiLevelType w:val="hybridMultilevel"/>
    <w:tmpl w:val="817ACA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5248868">
    <w:abstractNumId w:val="14"/>
  </w:num>
  <w:num w:numId="2" w16cid:durableId="123357823">
    <w:abstractNumId w:val="11"/>
  </w:num>
  <w:num w:numId="3" w16cid:durableId="909121187">
    <w:abstractNumId w:val="8"/>
  </w:num>
  <w:num w:numId="4" w16cid:durableId="396633115">
    <w:abstractNumId w:val="17"/>
  </w:num>
  <w:num w:numId="5" w16cid:durableId="614094159">
    <w:abstractNumId w:val="1"/>
  </w:num>
  <w:num w:numId="6" w16cid:durableId="936253036">
    <w:abstractNumId w:val="16"/>
  </w:num>
  <w:num w:numId="7" w16cid:durableId="929116849">
    <w:abstractNumId w:val="13"/>
  </w:num>
  <w:num w:numId="8" w16cid:durableId="1320883395">
    <w:abstractNumId w:val="10"/>
  </w:num>
  <w:num w:numId="9" w16cid:durableId="92826851">
    <w:abstractNumId w:val="4"/>
  </w:num>
  <w:num w:numId="10" w16cid:durableId="1195381987">
    <w:abstractNumId w:val="18"/>
  </w:num>
  <w:num w:numId="11" w16cid:durableId="638269220">
    <w:abstractNumId w:val="6"/>
  </w:num>
  <w:num w:numId="12" w16cid:durableId="471093956">
    <w:abstractNumId w:val="2"/>
  </w:num>
  <w:num w:numId="13" w16cid:durableId="1241014705">
    <w:abstractNumId w:val="0"/>
  </w:num>
  <w:num w:numId="14" w16cid:durableId="1489052560">
    <w:abstractNumId w:val="3"/>
  </w:num>
  <w:num w:numId="15" w16cid:durableId="19162519">
    <w:abstractNumId w:val="7"/>
  </w:num>
  <w:num w:numId="16" w16cid:durableId="1156460155">
    <w:abstractNumId w:val="12"/>
  </w:num>
  <w:num w:numId="17" w16cid:durableId="1222864882">
    <w:abstractNumId w:val="19"/>
  </w:num>
  <w:num w:numId="18" w16cid:durableId="323625245">
    <w:abstractNumId w:val="5"/>
  </w:num>
  <w:num w:numId="19" w16cid:durableId="253781246">
    <w:abstractNumId w:val="15"/>
  </w:num>
  <w:num w:numId="20" w16cid:durableId="5131542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683"/>
    <w:rsid w:val="00222690"/>
    <w:rsid w:val="005803BC"/>
    <w:rsid w:val="00761683"/>
    <w:rsid w:val="00A65383"/>
    <w:rsid w:val="00A8675C"/>
    <w:rsid w:val="00C07ACA"/>
    <w:rsid w:val="00C12CFD"/>
    <w:rsid w:val="00C43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83C2D"/>
  <w15:chartTrackingRefBased/>
  <w15:docId w15:val="{F14DD3F3-F41A-4506-83EB-359557A14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1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1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1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1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1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1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1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1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1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61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61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1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16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16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16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16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16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16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1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1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1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1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1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1683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7616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1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16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168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6168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61683"/>
  </w:style>
  <w:style w:type="paragraph" w:styleId="Piedepgina">
    <w:name w:val="footer"/>
    <w:basedOn w:val="Normal"/>
    <w:link w:val="PiedepginaCar"/>
    <w:uiPriority w:val="99"/>
    <w:unhideWhenUsed/>
    <w:rsid w:val="0076168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616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752</Words>
  <Characters>4650</Characters>
  <Application>Microsoft Office Word</Application>
  <DocSecurity>0</DocSecurity>
  <Lines>96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1</cp:revision>
  <dcterms:created xsi:type="dcterms:W3CDTF">2026-01-20T11:06:00Z</dcterms:created>
  <dcterms:modified xsi:type="dcterms:W3CDTF">2026-01-20T11:44:00Z</dcterms:modified>
</cp:coreProperties>
</file>