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B6385" w14:textId="77777777" w:rsidR="00D76973" w:rsidRPr="00CF7023" w:rsidRDefault="00D76973" w:rsidP="00176F4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CF7023">
        <w:rPr>
          <w:rFonts w:ascii="Cambria" w:hAnsi="Cambria"/>
          <w:b/>
          <w:bCs/>
          <w:color w:val="auto"/>
          <w:sz w:val="28"/>
          <w:szCs w:val="28"/>
        </w:rPr>
        <w:t>1. INTRODUCCIÓN</w:t>
      </w:r>
    </w:p>
    <w:p w14:paraId="0E38215B" w14:textId="77777777" w:rsidR="00176F49" w:rsidRPr="00CF7023" w:rsidRDefault="00D76973" w:rsidP="00176F49">
      <w:pPr>
        <w:jc w:val="both"/>
        <w:rPr>
          <w:rFonts w:ascii="Cambria" w:hAnsi="Cambria"/>
        </w:rPr>
      </w:pPr>
      <w:r w:rsidRPr="00CF7023">
        <w:rPr>
          <w:rFonts w:ascii="Cambria" w:hAnsi="Cambria"/>
        </w:rPr>
        <w:t xml:space="preserve">La creación del Mercado Único exigía eliminar barreras técnicas, físicas y fiscales (Acta Única 1986). </w:t>
      </w:r>
    </w:p>
    <w:p w14:paraId="7035B7A9" w14:textId="1A644D8B" w:rsidR="00D76973" w:rsidRPr="00CF7023" w:rsidRDefault="00176F49" w:rsidP="00176F49">
      <w:pPr>
        <w:jc w:val="both"/>
        <w:rPr>
          <w:rFonts w:ascii="Cambria" w:hAnsi="Cambria"/>
        </w:rPr>
      </w:pPr>
      <w:r w:rsidRPr="00CF7023">
        <w:rPr>
          <w:rFonts w:ascii="Cambria" w:hAnsi="Cambria"/>
        </w:rPr>
        <w:t>A</w:t>
      </w:r>
      <w:r w:rsidR="00D76973" w:rsidRPr="00CF7023">
        <w:rPr>
          <w:rFonts w:ascii="Cambria" w:hAnsi="Cambria"/>
        </w:rPr>
        <w:t>rmonización técnica fue lenta debido a la necesidad de unanimidad y al excesivo detalle técnico de las directivas. Para solucionarlo, nueva estrategia basada en tres pilares:</w:t>
      </w:r>
    </w:p>
    <w:p w14:paraId="57D3C022" w14:textId="77777777" w:rsidR="00D76973" w:rsidRPr="00CF7023" w:rsidRDefault="00D76973" w:rsidP="00176F49">
      <w:pPr>
        <w:numPr>
          <w:ilvl w:val="0"/>
          <w:numId w:val="1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Nuevo Enfoque:</w:t>
      </w:r>
      <w:r w:rsidRPr="00CF7023">
        <w:rPr>
          <w:rFonts w:ascii="Cambria" w:hAnsi="Cambria"/>
        </w:rPr>
        <w:t xml:space="preserve"> Armonización limitada a requisitos esenciales.</w:t>
      </w:r>
    </w:p>
    <w:p w14:paraId="717ECE5C" w14:textId="77777777" w:rsidR="00D76973" w:rsidRPr="00CF7023" w:rsidRDefault="00D76973" w:rsidP="00176F49">
      <w:pPr>
        <w:numPr>
          <w:ilvl w:val="0"/>
          <w:numId w:val="1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Enfoque Global:</w:t>
      </w:r>
      <w:r w:rsidRPr="00CF7023">
        <w:rPr>
          <w:rFonts w:ascii="Cambria" w:hAnsi="Cambria"/>
        </w:rPr>
        <w:t xml:space="preserve"> Evaluación de la conformidad y certificación.</w:t>
      </w:r>
    </w:p>
    <w:p w14:paraId="28BFA2D9" w14:textId="77777777" w:rsidR="00D76973" w:rsidRPr="00CF7023" w:rsidRDefault="00D76973" w:rsidP="00176F49">
      <w:pPr>
        <w:numPr>
          <w:ilvl w:val="0"/>
          <w:numId w:val="1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Cooperación con Organismos de Normalización (CEN, CENELEC, ETSI).</w:t>
      </w:r>
    </w:p>
    <w:p w14:paraId="5AD72962" w14:textId="77777777" w:rsidR="00D76973" w:rsidRPr="00CF7023" w:rsidRDefault="00D76973" w:rsidP="00176F49">
      <w:pPr>
        <w:jc w:val="both"/>
        <w:rPr>
          <w:rFonts w:ascii="Cambria" w:hAnsi="Cambria"/>
        </w:rPr>
      </w:pPr>
      <w:r w:rsidRPr="00CF7023">
        <w:rPr>
          <w:rFonts w:ascii="Cambria" w:hAnsi="Cambria"/>
        </w:rPr>
        <w:t xml:space="preserve">Además, el </w:t>
      </w:r>
      <w:r w:rsidRPr="00CF7023">
        <w:rPr>
          <w:rFonts w:ascii="Cambria" w:hAnsi="Cambria"/>
          <w:b/>
          <w:bCs/>
        </w:rPr>
        <w:t>Principio de Reconocimiento Mutuo</w:t>
      </w:r>
      <w:r w:rsidRPr="00CF7023">
        <w:rPr>
          <w:rFonts w:ascii="Cambria" w:hAnsi="Cambria"/>
        </w:rPr>
        <w:t xml:space="preserve"> (Sentencia </w:t>
      </w:r>
      <w:r w:rsidRPr="00CF7023">
        <w:rPr>
          <w:rFonts w:ascii="Cambria" w:hAnsi="Cambria"/>
          <w:i/>
          <w:iCs/>
        </w:rPr>
        <w:t>Cassis de Dijon</w:t>
      </w:r>
      <w:r w:rsidRPr="00CF7023">
        <w:rPr>
          <w:rFonts w:ascii="Cambria" w:hAnsi="Cambria"/>
        </w:rPr>
        <w:t>) garantiza la libre circulación de productos no armonizados si cumplen las normas de su país de origen y ofrecen un nivel de protección equivalente.</w:t>
      </w:r>
    </w:p>
    <w:p w14:paraId="0B5B8A8B" w14:textId="77777777" w:rsidR="00D76973" w:rsidRPr="00CF7023" w:rsidRDefault="00D76973" w:rsidP="00176F4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CF7023">
        <w:rPr>
          <w:rFonts w:ascii="Cambria" w:hAnsi="Cambria"/>
          <w:b/>
          <w:bCs/>
          <w:color w:val="auto"/>
          <w:sz w:val="28"/>
          <w:szCs w:val="28"/>
        </w:rPr>
        <w:t>2. DIRECTIVAS DE NUEVO ENFOQUE</w:t>
      </w:r>
    </w:p>
    <w:p w14:paraId="51DEA63A" w14:textId="77777777" w:rsidR="00D76973" w:rsidRPr="00CF7023" w:rsidRDefault="00D76973" w:rsidP="00176F49">
      <w:pPr>
        <w:jc w:val="both"/>
        <w:rPr>
          <w:rFonts w:ascii="Cambria" w:hAnsi="Cambria"/>
        </w:rPr>
      </w:pPr>
      <w:r w:rsidRPr="00CF7023">
        <w:rPr>
          <w:rFonts w:ascii="Cambria" w:hAnsi="Cambria"/>
        </w:rPr>
        <w:t xml:space="preserve">Establecidas por la </w:t>
      </w:r>
      <w:r w:rsidRPr="00CF7023">
        <w:rPr>
          <w:rFonts w:ascii="Cambria" w:hAnsi="Cambria"/>
          <w:u w:val="single"/>
        </w:rPr>
        <w:t>Resolución del Consejo de 7 de mayo de 1985</w:t>
      </w:r>
      <w:r w:rsidRPr="00CF7023">
        <w:rPr>
          <w:rFonts w:ascii="Cambria" w:hAnsi="Cambria"/>
        </w:rPr>
        <w:t>. Cambian la filosofía legislativa: las Directivas no definen especificaciones técnicas detalladas, sino que remiten a normas armonizadas.</w:t>
      </w:r>
    </w:p>
    <w:p w14:paraId="659BCD98" w14:textId="77777777" w:rsidR="00D76973" w:rsidRPr="00CF7023" w:rsidRDefault="00D76973" w:rsidP="00176F49">
      <w:p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Los 8 Principios del Nuevo Enfoque:</w:t>
      </w:r>
    </w:p>
    <w:p w14:paraId="252B27D9" w14:textId="77777777" w:rsidR="00D76973" w:rsidRPr="00CF7023" w:rsidRDefault="00D76973" w:rsidP="00176F49">
      <w:pPr>
        <w:numPr>
          <w:ilvl w:val="0"/>
          <w:numId w:val="2"/>
        </w:numPr>
        <w:jc w:val="both"/>
        <w:rPr>
          <w:rFonts w:ascii="Cambria" w:hAnsi="Cambria"/>
        </w:rPr>
      </w:pPr>
      <w:r w:rsidRPr="00CF7023">
        <w:rPr>
          <w:rFonts w:ascii="Cambria" w:hAnsi="Cambria"/>
        </w:rPr>
        <w:t>Armonización legislativa mediante Directivas (mayoría cualificada).</w:t>
      </w:r>
    </w:p>
    <w:p w14:paraId="03A46B54" w14:textId="77777777" w:rsidR="00D76973" w:rsidRPr="00CF7023" w:rsidRDefault="00D76973" w:rsidP="00176F49">
      <w:pPr>
        <w:numPr>
          <w:ilvl w:val="0"/>
          <w:numId w:val="2"/>
        </w:numPr>
        <w:jc w:val="both"/>
        <w:rPr>
          <w:rFonts w:ascii="Cambria" w:hAnsi="Cambria"/>
        </w:rPr>
      </w:pPr>
      <w:r w:rsidRPr="00CF7023">
        <w:rPr>
          <w:rFonts w:ascii="Cambria" w:hAnsi="Cambria"/>
        </w:rPr>
        <w:t>Las Directivas solo fijan Requisitos Esenciales de seguridad y salud obligatorios.</w:t>
      </w:r>
    </w:p>
    <w:p w14:paraId="55B63188" w14:textId="77777777" w:rsidR="00D76973" w:rsidRPr="00CF7023" w:rsidRDefault="00D76973" w:rsidP="00176F49">
      <w:pPr>
        <w:numPr>
          <w:ilvl w:val="0"/>
          <w:numId w:val="2"/>
        </w:numPr>
        <w:jc w:val="both"/>
        <w:rPr>
          <w:rFonts w:ascii="Cambria" w:hAnsi="Cambria"/>
        </w:rPr>
      </w:pPr>
      <w:r w:rsidRPr="00CF7023">
        <w:rPr>
          <w:rFonts w:ascii="Cambria" w:hAnsi="Cambria"/>
        </w:rPr>
        <w:t>Las especificaciones técnicas detalladas se recogen en Normas Armonizadas.</w:t>
      </w:r>
    </w:p>
    <w:p w14:paraId="49971B34" w14:textId="77777777" w:rsidR="00D76973" w:rsidRPr="00CF7023" w:rsidRDefault="00D76973" w:rsidP="00176F49">
      <w:pPr>
        <w:numPr>
          <w:ilvl w:val="0"/>
          <w:numId w:val="2"/>
        </w:numPr>
        <w:jc w:val="both"/>
        <w:rPr>
          <w:rFonts w:ascii="Cambria" w:hAnsi="Cambria"/>
        </w:rPr>
      </w:pPr>
      <w:r w:rsidRPr="00CF7023">
        <w:rPr>
          <w:rFonts w:ascii="Cambria" w:hAnsi="Cambria"/>
        </w:rPr>
        <w:t>Las normas son elaboradas por organismos europeos (CEN/CENELEC/ETSI) por mandato de la Comisión.</w:t>
      </w:r>
    </w:p>
    <w:p w14:paraId="44FB69D7" w14:textId="77777777" w:rsidR="00D76973" w:rsidRPr="00CF7023" w:rsidRDefault="00D76973" w:rsidP="00176F49">
      <w:pPr>
        <w:numPr>
          <w:ilvl w:val="0"/>
          <w:numId w:val="2"/>
        </w:numPr>
        <w:jc w:val="both"/>
        <w:rPr>
          <w:rFonts w:ascii="Cambria" w:hAnsi="Cambria"/>
        </w:rPr>
      </w:pPr>
      <w:r w:rsidRPr="00CF7023">
        <w:rPr>
          <w:rFonts w:ascii="Cambria" w:hAnsi="Cambria"/>
        </w:rPr>
        <w:t>El cumplimiento de las normas armonizadas sigue siendo voluntario.</w:t>
      </w:r>
    </w:p>
    <w:p w14:paraId="7C182FAC" w14:textId="77777777" w:rsidR="00D76973" w:rsidRPr="00CF7023" w:rsidRDefault="00D76973" w:rsidP="00176F49">
      <w:pPr>
        <w:numPr>
          <w:ilvl w:val="0"/>
          <w:numId w:val="2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Presunción de Conformidad:</w:t>
      </w:r>
      <w:r w:rsidRPr="00CF7023">
        <w:rPr>
          <w:rFonts w:ascii="Cambria" w:hAnsi="Cambria"/>
        </w:rPr>
        <w:t xml:space="preserve"> Si se cumple la norma armonizada, se presume que se cumplen los requisitos esenciales de la Directiva.</w:t>
      </w:r>
    </w:p>
    <w:p w14:paraId="46E9E021" w14:textId="77777777" w:rsidR="00D76973" w:rsidRPr="00CF7023" w:rsidRDefault="00D76973" w:rsidP="00176F49">
      <w:pPr>
        <w:numPr>
          <w:ilvl w:val="0"/>
          <w:numId w:val="2"/>
        </w:numPr>
        <w:jc w:val="both"/>
        <w:rPr>
          <w:rFonts w:ascii="Cambria" w:hAnsi="Cambria"/>
        </w:rPr>
      </w:pPr>
      <w:r w:rsidRPr="00CF7023">
        <w:rPr>
          <w:rFonts w:ascii="Cambria" w:hAnsi="Cambria"/>
        </w:rPr>
        <w:t>El fabricante puede elegir otros medios para probar la conformidad si no usa la norma (pero debe demostrar que cumple los requisitos).</w:t>
      </w:r>
    </w:p>
    <w:p w14:paraId="15483B91" w14:textId="77777777" w:rsidR="00D76973" w:rsidRPr="00CF7023" w:rsidRDefault="00D76973" w:rsidP="00176F49">
      <w:pPr>
        <w:numPr>
          <w:ilvl w:val="0"/>
          <w:numId w:val="2"/>
        </w:numPr>
        <w:jc w:val="both"/>
        <w:rPr>
          <w:rFonts w:ascii="Cambria" w:hAnsi="Cambria"/>
        </w:rPr>
      </w:pPr>
      <w:r w:rsidRPr="00CF7023">
        <w:rPr>
          <w:rFonts w:ascii="Cambria" w:hAnsi="Cambria"/>
        </w:rPr>
        <w:t>Si no hay armonización, aplica el Reconocimiento Mutuo.</w:t>
      </w:r>
    </w:p>
    <w:p w14:paraId="0F21DA88" w14:textId="77777777" w:rsidR="00D76973" w:rsidRPr="00CF7023" w:rsidRDefault="00D76973" w:rsidP="00176F49">
      <w:p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Elementos clave de las Directivas:</w:t>
      </w:r>
    </w:p>
    <w:p w14:paraId="20C9575E" w14:textId="77777777" w:rsidR="00D76973" w:rsidRPr="00CF7023" w:rsidRDefault="00D76973" w:rsidP="00176F49">
      <w:pPr>
        <w:numPr>
          <w:ilvl w:val="0"/>
          <w:numId w:val="3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lastRenderedPageBreak/>
        <w:t>Ámbito de aplicación:</w:t>
      </w:r>
      <w:r w:rsidRPr="00CF7023">
        <w:rPr>
          <w:rFonts w:ascii="Cambria" w:hAnsi="Cambria"/>
        </w:rPr>
        <w:t xml:space="preserve"> Definen las categorías de productos y riesgos cubiertos (Juguetes, Maquinaria, Compatibilidad Electromagnética, etc.). Aplican a productos comercializados por primera vez en la UE (nuevos o importados).</w:t>
      </w:r>
    </w:p>
    <w:p w14:paraId="67298152" w14:textId="77777777" w:rsidR="00D76973" w:rsidRPr="00CF7023" w:rsidRDefault="00D76973" w:rsidP="00176F49">
      <w:pPr>
        <w:numPr>
          <w:ilvl w:val="0"/>
          <w:numId w:val="3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Requisitos Esenciales:</w:t>
      </w:r>
      <w:r w:rsidRPr="00CF7023">
        <w:rPr>
          <w:rFonts w:ascii="Cambria" w:hAnsi="Cambria"/>
        </w:rPr>
        <w:t xml:space="preserve"> Obligaciones de resultados (seguridad, salud, protección ambiental) recogidas en los Anexos. El fabricante debe realizar un análisis de riesgos.</w:t>
      </w:r>
    </w:p>
    <w:p w14:paraId="3E530E44" w14:textId="77777777" w:rsidR="00D76973" w:rsidRPr="00CF7023" w:rsidRDefault="00D76973" w:rsidP="00176F49">
      <w:pPr>
        <w:numPr>
          <w:ilvl w:val="0"/>
          <w:numId w:val="3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Marcado CE:</w:t>
      </w:r>
      <w:r w:rsidRPr="00CF7023">
        <w:rPr>
          <w:rFonts w:ascii="Cambria" w:hAnsi="Cambria"/>
        </w:rPr>
        <w:t xml:space="preserve"> Símbolo obligatorio que declara la conformidad del producto con todas las Directivas aplicables. Garantiza la libre circulación.</w:t>
      </w:r>
    </w:p>
    <w:p w14:paraId="13571AA0" w14:textId="77777777" w:rsidR="00D76973" w:rsidRPr="00CF7023" w:rsidRDefault="00D76973" w:rsidP="00176F49">
      <w:pPr>
        <w:numPr>
          <w:ilvl w:val="0"/>
          <w:numId w:val="3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Cláusula de Salvaguardia:</w:t>
      </w:r>
      <w:r w:rsidRPr="00CF7023">
        <w:rPr>
          <w:rFonts w:ascii="Cambria" w:hAnsi="Cambria"/>
        </w:rPr>
        <w:t xml:space="preserve"> Permite a los EEMM retirar del mercado productos con marcado CE si suponen un riesgo, notificándolo a la Comisión (Sistema RAPEX/Safety Gate).</w:t>
      </w:r>
    </w:p>
    <w:p w14:paraId="0FA53063" w14:textId="77777777" w:rsidR="00D76973" w:rsidRPr="00CF7023" w:rsidRDefault="00D76973" w:rsidP="00176F4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CF7023">
        <w:rPr>
          <w:rFonts w:ascii="Cambria" w:hAnsi="Cambria"/>
          <w:b/>
          <w:bCs/>
          <w:color w:val="auto"/>
          <w:sz w:val="28"/>
          <w:szCs w:val="28"/>
        </w:rPr>
        <w:t>3. ENFOQUE GLOBAL Y EVALUACIÓN DE LA CONFORMIDAD</w:t>
      </w:r>
    </w:p>
    <w:p w14:paraId="4F3E0BA6" w14:textId="77777777" w:rsidR="00D76973" w:rsidRPr="00CF7023" w:rsidRDefault="00D76973" w:rsidP="00176F49">
      <w:pPr>
        <w:jc w:val="both"/>
        <w:rPr>
          <w:rFonts w:ascii="Cambria" w:hAnsi="Cambria"/>
        </w:rPr>
      </w:pPr>
      <w:r w:rsidRPr="00CF7023">
        <w:rPr>
          <w:rFonts w:ascii="Cambria" w:hAnsi="Cambria"/>
        </w:rPr>
        <w:t xml:space="preserve">Basado en la </w:t>
      </w:r>
      <w:r w:rsidRPr="00CF7023">
        <w:rPr>
          <w:rFonts w:ascii="Cambria" w:hAnsi="Cambria"/>
          <w:u w:val="single"/>
        </w:rPr>
        <w:t>Resolución del Consejo de 21 de diciembre de 1989</w:t>
      </w:r>
      <w:r w:rsidRPr="00CF7023">
        <w:rPr>
          <w:rFonts w:ascii="Cambria" w:hAnsi="Cambria"/>
        </w:rPr>
        <w:t>. Su objetivo es crear un sistema de certificación y ensayos homogéneo y fiable en toda la UE.</w:t>
      </w:r>
    </w:p>
    <w:p w14:paraId="1A51B64D" w14:textId="77777777" w:rsidR="00D76973" w:rsidRPr="00CF7023" w:rsidRDefault="00D76973" w:rsidP="00176F49">
      <w:p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Características del Enfoque Global:</w:t>
      </w:r>
    </w:p>
    <w:p w14:paraId="4BCB5707" w14:textId="77777777" w:rsidR="00D76973" w:rsidRPr="00CF7023" w:rsidRDefault="00D76973" w:rsidP="00176F49">
      <w:pPr>
        <w:numPr>
          <w:ilvl w:val="0"/>
          <w:numId w:val="4"/>
        </w:numPr>
        <w:jc w:val="both"/>
        <w:rPr>
          <w:rFonts w:ascii="Cambria" w:hAnsi="Cambria"/>
        </w:rPr>
      </w:pPr>
      <w:r w:rsidRPr="00CF7023">
        <w:rPr>
          <w:rFonts w:ascii="Cambria" w:hAnsi="Cambria"/>
        </w:rPr>
        <w:t>Estructura modular para la evaluación de la conformidad.</w:t>
      </w:r>
    </w:p>
    <w:p w14:paraId="52D68414" w14:textId="77777777" w:rsidR="00D76973" w:rsidRPr="00CF7023" w:rsidRDefault="00D76973" w:rsidP="00176F49">
      <w:pPr>
        <w:numPr>
          <w:ilvl w:val="0"/>
          <w:numId w:val="4"/>
        </w:numPr>
        <w:jc w:val="both"/>
        <w:rPr>
          <w:rFonts w:ascii="Cambria" w:hAnsi="Cambria"/>
        </w:rPr>
      </w:pPr>
      <w:r w:rsidRPr="00CF7023">
        <w:rPr>
          <w:rFonts w:ascii="Cambria" w:hAnsi="Cambria"/>
        </w:rPr>
        <w:t>Uso generalizado de normas de calidad (series ISO 9000 y ISO 17000 para organismos evaluadores).</w:t>
      </w:r>
    </w:p>
    <w:p w14:paraId="0A95D99F" w14:textId="77777777" w:rsidR="00D76973" w:rsidRPr="00CF7023" w:rsidRDefault="00D76973" w:rsidP="00176F49">
      <w:pPr>
        <w:numPr>
          <w:ilvl w:val="0"/>
          <w:numId w:val="4"/>
        </w:numPr>
        <w:jc w:val="both"/>
        <w:rPr>
          <w:rFonts w:ascii="Cambria" w:hAnsi="Cambria"/>
        </w:rPr>
      </w:pPr>
      <w:r w:rsidRPr="00CF7023">
        <w:rPr>
          <w:rFonts w:ascii="Cambria" w:hAnsi="Cambria"/>
        </w:rPr>
        <w:t>Fomento de la acreditación y reconocimiento mutuo.</w:t>
      </w:r>
    </w:p>
    <w:p w14:paraId="31CA60E2" w14:textId="77777777" w:rsidR="00D76973" w:rsidRPr="00CF7023" w:rsidRDefault="00D76973" w:rsidP="00176F49">
      <w:p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Los Módulos de Evaluación (Decisión 768/2008/CE):</w:t>
      </w:r>
      <w:r w:rsidRPr="00CF7023">
        <w:rPr>
          <w:rFonts w:ascii="Cambria" w:hAnsi="Cambria"/>
        </w:rPr>
        <w:t xml:space="preserve"> El procedimiento se divide en 8 módulos que cubren diseño y producción. Las Directivas especifican qué módulos puede elegir el fabricante.</w:t>
      </w:r>
    </w:p>
    <w:p w14:paraId="3BF399D0" w14:textId="77777777" w:rsidR="00D76973" w:rsidRPr="00CF7023" w:rsidRDefault="00D76973" w:rsidP="00176F49">
      <w:pPr>
        <w:numPr>
          <w:ilvl w:val="0"/>
          <w:numId w:val="5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Módulo A (Control interno):</w:t>
      </w:r>
      <w:r w:rsidRPr="00CF7023">
        <w:rPr>
          <w:rFonts w:ascii="Cambria" w:hAnsi="Cambria"/>
        </w:rPr>
        <w:t xml:space="preserve"> El fabricante declara la conformidad bajo su responsabilidad. No interviene organismo notificado.</w:t>
      </w:r>
    </w:p>
    <w:p w14:paraId="0B60A6FE" w14:textId="77777777" w:rsidR="00D76973" w:rsidRPr="00CF7023" w:rsidRDefault="00D76973" w:rsidP="00176F49">
      <w:pPr>
        <w:numPr>
          <w:ilvl w:val="0"/>
          <w:numId w:val="5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Módulo B (Examen UE de Tipo):</w:t>
      </w:r>
      <w:r w:rsidRPr="00CF7023">
        <w:rPr>
          <w:rFonts w:ascii="Cambria" w:hAnsi="Cambria"/>
        </w:rPr>
        <w:t xml:space="preserve"> Un organismo notificado examina el diseño técnico y certifica que cumple los requisitos. (Solo cubre fase de diseño, debe combinarse con C, D, E o F).</w:t>
      </w:r>
    </w:p>
    <w:p w14:paraId="15F31D5E" w14:textId="77777777" w:rsidR="00D76973" w:rsidRPr="00CF7023" w:rsidRDefault="00D76973" w:rsidP="00176F49">
      <w:pPr>
        <w:numPr>
          <w:ilvl w:val="0"/>
          <w:numId w:val="5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Módulo C (Conformidad con el tipo):</w:t>
      </w:r>
      <w:r w:rsidRPr="00CF7023">
        <w:rPr>
          <w:rFonts w:ascii="Cambria" w:hAnsi="Cambria"/>
        </w:rPr>
        <w:t xml:space="preserve"> Control interno de producción para asegurar que el producto es igual al tipo certificado en el Módulo B.</w:t>
      </w:r>
    </w:p>
    <w:p w14:paraId="2ABA5061" w14:textId="77777777" w:rsidR="00D76973" w:rsidRPr="00CF7023" w:rsidRDefault="00D76973" w:rsidP="00176F49">
      <w:pPr>
        <w:numPr>
          <w:ilvl w:val="0"/>
          <w:numId w:val="5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Módulo D (Aseguramiento calidad producción):</w:t>
      </w:r>
      <w:r w:rsidRPr="00CF7023">
        <w:rPr>
          <w:rFonts w:ascii="Cambria" w:hAnsi="Cambria"/>
        </w:rPr>
        <w:t xml:space="preserve"> Sistema de calidad de la producción (ISO 9001) supervisado por organismo notificado.</w:t>
      </w:r>
    </w:p>
    <w:p w14:paraId="48AA59AD" w14:textId="77777777" w:rsidR="00D76973" w:rsidRPr="00CF7023" w:rsidRDefault="00D76973" w:rsidP="00176F49">
      <w:pPr>
        <w:numPr>
          <w:ilvl w:val="0"/>
          <w:numId w:val="5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Módulo E (Aseguramiento calidad producto):</w:t>
      </w:r>
      <w:r w:rsidRPr="00CF7023">
        <w:rPr>
          <w:rFonts w:ascii="Cambria" w:hAnsi="Cambria"/>
        </w:rPr>
        <w:t xml:space="preserve"> Inspección y ensayos finales del producto supervisados.</w:t>
      </w:r>
    </w:p>
    <w:p w14:paraId="4A3F23C7" w14:textId="77777777" w:rsidR="00D76973" w:rsidRPr="00CF7023" w:rsidRDefault="00D76973" w:rsidP="00176F49">
      <w:pPr>
        <w:numPr>
          <w:ilvl w:val="0"/>
          <w:numId w:val="5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lastRenderedPageBreak/>
        <w:t>Módulo F (Verificación de productos):</w:t>
      </w:r>
      <w:r w:rsidRPr="00CF7023">
        <w:rPr>
          <w:rFonts w:ascii="Cambria" w:hAnsi="Cambria"/>
        </w:rPr>
        <w:t xml:space="preserve"> El organismo notificado verifica la conformidad de los productos (estadísticamente o uno a uno).</w:t>
      </w:r>
    </w:p>
    <w:p w14:paraId="734C72A4" w14:textId="77777777" w:rsidR="00D76973" w:rsidRPr="00CF7023" w:rsidRDefault="00D76973" w:rsidP="00176F49">
      <w:pPr>
        <w:numPr>
          <w:ilvl w:val="0"/>
          <w:numId w:val="5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Módulo G (Verificación unitaria):</w:t>
      </w:r>
      <w:r w:rsidRPr="00CF7023">
        <w:rPr>
          <w:rFonts w:ascii="Cambria" w:hAnsi="Cambria"/>
        </w:rPr>
        <w:t xml:space="preserve"> Para productos únicos. El organismo verifica el diseño y producción de cada unidad.</w:t>
      </w:r>
    </w:p>
    <w:p w14:paraId="56D6E640" w14:textId="77777777" w:rsidR="00D76973" w:rsidRPr="00CF7023" w:rsidRDefault="00D76973" w:rsidP="00176F49">
      <w:pPr>
        <w:numPr>
          <w:ilvl w:val="0"/>
          <w:numId w:val="5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Módulo H (Aseguramiento calidad total):</w:t>
      </w:r>
      <w:r w:rsidRPr="00CF7023">
        <w:rPr>
          <w:rFonts w:ascii="Cambria" w:hAnsi="Cambria"/>
        </w:rPr>
        <w:t xml:space="preserve"> Sistema de calidad completo (diseño + producción) supervisado.</w:t>
      </w:r>
    </w:p>
    <w:p w14:paraId="0D4C1C04" w14:textId="77777777" w:rsidR="00D76973" w:rsidRPr="00CF7023" w:rsidRDefault="00D76973" w:rsidP="00176F49">
      <w:p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Documentación requerida:</w:t>
      </w:r>
    </w:p>
    <w:p w14:paraId="3BDB751C" w14:textId="77777777" w:rsidR="00D76973" w:rsidRPr="00CF7023" w:rsidRDefault="00D76973" w:rsidP="00176F49">
      <w:pPr>
        <w:numPr>
          <w:ilvl w:val="0"/>
          <w:numId w:val="6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Expediente Técnico:</w:t>
      </w:r>
      <w:r w:rsidRPr="00CF7023">
        <w:rPr>
          <w:rFonts w:ascii="Cambria" w:hAnsi="Cambria"/>
        </w:rPr>
        <w:t xml:space="preserve"> Información sobre diseño, fabricación y funcionamiento. Debe conservarse 10 años.</w:t>
      </w:r>
    </w:p>
    <w:p w14:paraId="6D287ABA" w14:textId="77777777" w:rsidR="00D76973" w:rsidRPr="00CF7023" w:rsidRDefault="00D76973" w:rsidP="00176F49">
      <w:pPr>
        <w:numPr>
          <w:ilvl w:val="0"/>
          <w:numId w:val="6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Declaración UE de Conformidad:</w:t>
      </w:r>
      <w:r w:rsidRPr="00CF7023">
        <w:rPr>
          <w:rFonts w:ascii="Cambria" w:hAnsi="Cambria"/>
        </w:rPr>
        <w:t xml:space="preserve"> Documento donde el fabricante asume la responsabilidad de la conformidad.</w:t>
      </w:r>
    </w:p>
    <w:p w14:paraId="44F91D51" w14:textId="77777777" w:rsidR="00D76973" w:rsidRPr="00CF7023" w:rsidRDefault="00D76973" w:rsidP="00176F49">
      <w:p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Organismos Notificados:</w:t>
      </w:r>
      <w:r w:rsidRPr="00CF7023">
        <w:rPr>
          <w:rFonts w:ascii="Cambria" w:hAnsi="Cambria"/>
        </w:rPr>
        <w:t xml:space="preserve"> Terceras partes independientes designadas por los EEMM (ej. AENOR en España) para realizar las evaluaciones cuando la Directiva lo exige. Deben estar acreditados.</w:t>
      </w:r>
    </w:p>
    <w:p w14:paraId="1EFE375D" w14:textId="093EC9EA" w:rsidR="00176F49" w:rsidRPr="00CF7023" w:rsidRDefault="00176F49" w:rsidP="00176F4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CF7023">
        <w:rPr>
          <w:rFonts w:ascii="Cambria" w:hAnsi="Cambria"/>
          <w:b/>
          <w:bCs/>
          <w:color w:val="auto"/>
          <w:sz w:val="28"/>
          <w:szCs w:val="28"/>
        </w:rPr>
        <w:t>4. MARCADO CE</w:t>
      </w:r>
    </w:p>
    <w:p w14:paraId="58B73652" w14:textId="038E4990" w:rsidR="00176F49" w:rsidRPr="00CF7023" w:rsidRDefault="00176F49" w:rsidP="00176F49">
      <w:pPr>
        <w:jc w:val="both"/>
        <w:rPr>
          <w:rFonts w:ascii="Cambria" w:hAnsi="Cambria"/>
        </w:rPr>
      </w:pPr>
      <w:r w:rsidRPr="00CF7023">
        <w:rPr>
          <w:rFonts w:ascii="Cambria" w:hAnsi="Cambria"/>
        </w:rPr>
        <w:t>Simboliza la conformidad con todas las obligaciones que deben cumplir los fabricantes en virtud del cumplimiento de unas Directivas que establecen su colocación</w:t>
      </w:r>
      <w:r w:rsidR="00001B35" w:rsidRPr="00CF7023">
        <w:rPr>
          <w:rFonts w:ascii="Cambria" w:hAnsi="Cambria"/>
        </w:rPr>
        <w:t>.</w:t>
      </w:r>
    </w:p>
    <w:p w14:paraId="5D41C3F6" w14:textId="4659EC67" w:rsidR="00176F49" w:rsidRPr="00CF7023" w:rsidRDefault="00176F49" w:rsidP="00176F49">
      <w:pPr>
        <w:jc w:val="both"/>
        <w:rPr>
          <w:rFonts w:ascii="Cambria" w:hAnsi="Cambria"/>
        </w:rPr>
      </w:pPr>
      <w:r w:rsidRPr="00CF7023">
        <w:rPr>
          <w:rFonts w:ascii="Cambria" w:hAnsi="Cambria"/>
        </w:rPr>
        <w:t xml:space="preserve">Para limitar la </w:t>
      </w:r>
      <w:r w:rsidR="00077699" w:rsidRPr="00CF7023">
        <w:rPr>
          <w:rFonts w:ascii="Cambria" w:hAnsi="Cambria"/>
        </w:rPr>
        <w:t>circulación</w:t>
      </w:r>
      <w:r w:rsidRPr="00CF7023">
        <w:rPr>
          <w:rFonts w:ascii="Cambria" w:hAnsi="Cambria"/>
        </w:rPr>
        <w:t xml:space="preserve"> de </w:t>
      </w:r>
      <w:r w:rsidR="00077699" w:rsidRPr="00CF7023">
        <w:rPr>
          <w:rFonts w:ascii="Cambria" w:hAnsi="Cambria"/>
        </w:rPr>
        <w:t>un producto con marcado CE debe poseer pruebas acreditativas de la no conformidad.</w:t>
      </w:r>
    </w:p>
    <w:p w14:paraId="06A9D5CC" w14:textId="5F531D5B" w:rsidR="00176F49" w:rsidRPr="00CF7023" w:rsidRDefault="00077699" w:rsidP="00077699">
      <w:pPr>
        <w:jc w:val="both"/>
        <w:rPr>
          <w:rFonts w:ascii="Cambria" w:hAnsi="Cambria"/>
        </w:rPr>
      </w:pPr>
      <w:r w:rsidRPr="00CF7023">
        <w:rPr>
          <w:rFonts w:ascii="Cambria" w:hAnsi="Cambria"/>
        </w:rPr>
        <w:t xml:space="preserve">Se debe colocar de forma legible e </w:t>
      </w:r>
      <w:proofErr w:type="gramStart"/>
      <w:r w:rsidRPr="00CF7023">
        <w:rPr>
          <w:rFonts w:ascii="Cambria" w:hAnsi="Cambria"/>
        </w:rPr>
        <w:t>indeleble</w:t>
      </w:r>
      <w:proofErr w:type="gramEnd"/>
      <w:r w:rsidRPr="00CF7023">
        <w:rPr>
          <w:rFonts w:ascii="Cambria" w:hAnsi="Cambria"/>
        </w:rPr>
        <w:t xml:space="preserve"> aunque puede variar según la naturaleza del producto.</w:t>
      </w:r>
    </w:p>
    <w:p w14:paraId="23E68E0F" w14:textId="4635CFBC" w:rsidR="00D76973" w:rsidRPr="00CF7023" w:rsidRDefault="00176F49" w:rsidP="00176F4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CF7023">
        <w:rPr>
          <w:rFonts w:ascii="Cambria" w:hAnsi="Cambria"/>
          <w:b/>
          <w:bCs/>
          <w:color w:val="auto"/>
          <w:sz w:val="28"/>
          <w:szCs w:val="28"/>
        </w:rPr>
        <w:t>5</w:t>
      </w:r>
      <w:r w:rsidR="00D76973" w:rsidRPr="00CF7023">
        <w:rPr>
          <w:rFonts w:ascii="Cambria" w:hAnsi="Cambria"/>
          <w:b/>
          <w:bCs/>
          <w:color w:val="auto"/>
          <w:sz w:val="28"/>
          <w:szCs w:val="28"/>
        </w:rPr>
        <w:t>. PRINCIPIO DE RECONOCIMIENTO MUTUO</w:t>
      </w:r>
    </w:p>
    <w:p w14:paraId="5EE4A2EC" w14:textId="77777777" w:rsidR="00D76973" w:rsidRPr="00CF7023" w:rsidRDefault="00D76973" w:rsidP="00176F49">
      <w:pPr>
        <w:jc w:val="both"/>
        <w:rPr>
          <w:rFonts w:ascii="Cambria" w:hAnsi="Cambria"/>
        </w:rPr>
      </w:pPr>
      <w:r w:rsidRPr="00CF7023">
        <w:rPr>
          <w:rFonts w:ascii="Cambria" w:hAnsi="Cambria"/>
        </w:rPr>
        <w:t>Fundamental para productos no cubiertos por armonización comunitaria.</w:t>
      </w:r>
    </w:p>
    <w:p w14:paraId="044B30E6" w14:textId="0E7F5972" w:rsidR="00D76973" w:rsidRPr="00CF7023" w:rsidRDefault="00D76973" w:rsidP="00176F49">
      <w:pPr>
        <w:numPr>
          <w:ilvl w:val="0"/>
          <w:numId w:val="7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Origen:</w:t>
      </w:r>
      <w:r w:rsidRPr="00CF7023">
        <w:rPr>
          <w:rFonts w:ascii="Cambria" w:hAnsi="Cambria"/>
        </w:rPr>
        <w:t xml:space="preserve"> Sentencia TJUE "Cassis de Dijon" (1979). Alemania prohibió un licor francés por tener graduación alcohólica insuficiente. El Tribunal falló que, si un producto se fabrica y comercializa legalmente en un EM, debe poder venderse en los demás.</w:t>
      </w:r>
    </w:p>
    <w:p w14:paraId="539F9004" w14:textId="77777777" w:rsidR="00D76973" w:rsidRPr="00CF7023" w:rsidRDefault="00D76973" w:rsidP="00176F49">
      <w:pPr>
        <w:numPr>
          <w:ilvl w:val="0"/>
          <w:numId w:val="7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Excepciones:</w:t>
      </w:r>
      <w:r w:rsidRPr="00CF7023">
        <w:rPr>
          <w:rFonts w:ascii="Cambria" w:hAnsi="Cambria"/>
        </w:rPr>
        <w:t xml:space="preserve"> Los EEMM solo pueden restringir la entrada por "exigencias imperativas" de interés general (salud, defensa consumidor, medioambiente) y la medida </w:t>
      </w:r>
      <w:r w:rsidRPr="00CF7023">
        <w:rPr>
          <w:rFonts w:ascii="Cambria" w:hAnsi="Cambria"/>
          <w:b/>
          <w:bCs/>
        </w:rPr>
        <w:t>debe ser proporcionada.</w:t>
      </w:r>
    </w:p>
    <w:p w14:paraId="2B64C697" w14:textId="77777777" w:rsidR="00D76973" w:rsidRPr="00CF7023" w:rsidRDefault="00D76973" w:rsidP="00176F4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CF7023">
        <w:rPr>
          <w:rFonts w:ascii="Cambria" w:hAnsi="Cambria"/>
          <w:b/>
          <w:bCs/>
          <w:color w:val="auto"/>
          <w:sz w:val="28"/>
          <w:szCs w:val="28"/>
        </w:rPr>
        <w:lastRenderedPageBreak/>
        <w:t>5. NUEVO MARCO LEGISLATIVO (NML - 2008)</w:t>
      </w:r>
    </w:p>
    <w:p w14:paraId="5423603A" w14:textId="1E0ED7ED" w:rsidR="00D76973" w:rsidRPr="00CF7023" w:rsidRDefault="00D76973" w:rsidP="00176F49">
      <w:pPr>
        <w:jc w:val="both"/>
        <w:rPr>
          <w:rFonts w:ascii="Cambria" w:hAnsi="Cambria"/>
        </w:rPr>
      </w:pPr>
      <w:r w:rsidRPr="00CF7023">
        <w:rPr>
          <w:rFonts w:ascii="Cambria" w:hAnsi="Cambria"/>
        </w:rPr>
        <w:t xml:space="preserve">Revisión del sistema (Paquete </w:t>
      </w:r>
      <w:proofErr w:type="spellStart"/>
      <w:r w:rsidRPr="00CF7023">
        <w:rPr>
          <w:rFonts w:ascii="Cambria" w:hAnsi="Cambria"/>
        </w:rPr>
        <w:t>Ayral</w:t>
      </w:r>
      <w:proofErr w:type="spellEnd"/>
      <w:r w:rsidRPr="00CF7023">
        <w:rPr>
          <w:rFonts w:ascii="Cambria" w:hAnsi="Cambria"/>
        </w:rPr>
        <w:t>) para reforzar la vigilancia del mercado y la credibilidad del marcado CE.</w:t>
      </w:r>
    </w:p>
    <w:p w14:paraId="6C2F74F3" w14:textId="77777777" w:rsidR="00D76973" w:rsidRPr="00CF7023" w:rsidRDefault="00D76973" w:rsidP="00176F49">
      <w:pPr>
        <w:numPr>
          <w:ilvl w:val="0"/>
          <w:numId w:val="8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Reglamento (CE) 765/2008:</w:t>
      </w:r>
      <w:r w:rsidRPr="00CF7023">
        <w:rPr>
          <w:rFonts w:ascii="Cambria" w:hAnsi="Cambria"/>
        </w:rPr>
        <w:t xml:space="preserve"> Establece requisitos para la acreditación de organismos y vigilancia del mercado de productos.</w:t>
      </w:r>
    </w:p>
    <w:p w14:paraId="73A66CFC" w14:textId="334867E8" w:rsidR="00D76973" w:rsidRPr="00CF7023" w:rsidRDefault="00D76973" w:rsidP="00176F49">
      <w:pPr>
        <w:numPr>
          <w:ilvl w:val="0"/>
          <w:numId w:val="8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Decisión 768/2008/CE:</w:t>
      </w:r>
      <w:r w:rsidRPr="00CF7023">
        <w:rPr>
          <w:rFonts w:ascii="Cambria" w:hAnsi="Cambria"/>
        </w:rPr>
        <w:t xml:space="preserve"> Marco común para la redacción de futuras directivas</w:t>
      </w:r>
      <w:r w:rsidR="00176F49" w:rsidRPr="00CF7023">
        <w:rPr>
          <w:rFonts w:ascii="Cambria" w:hAnsi="Cambria"/>
        </w:rPr>
        <w:t>.</w:t>
      </w:r>
    </w:p>
    <w:p w14:paraId="52AFF02A" w14:textId="69BEFE65" w:rsidR="00D76973" w:rsidRPr="00CF7023" w:rsidRDefault="00D76973" w:rsidP="00176F49">
      <w:pPr>
        <w:numPr>
          <w:ilvl w:val="0"/>
          <w:numId w:val="8"/>
        </w:numPr>
        <w:jc w:val="both"/>
        <w:rPr>
          <w:rFonts w:ascii="Cambria" w:hAnsi="Cambria"/>
        </w:rPr>
      </w:pPr>
      <w:r w:rsidRPr="00CF7023">
        <w:rPr>
          <w:rFonts w:ascii="Cambria" w:hAnsi="Cambria"/>
          <w:b/>
          <w:bCs/>
        </w:rPr>
        <w:t>Reglamento (UE) 2019/515 (Reconocimiento Mutuo):</w:t>
      </w:r>
      <w:r w:rsidRPr="00CF7023">
        <w:rPr>
          <w:rFonts w:ascii="Cambria" w:hAnsi="Cambria"/>
        </w:rPr>
        <w:t xml:space="preserve"> Procedimiento que deben seguir los EEMM si quieren denegar el acceso a un producto legal en otro EM</w:t>
      </w:r>
      <w:r w:rsidR="00176F49" w:rsidRPr="00CF7023">
        <w:rPr>
          <w:rFonts w:ascii="Cambria" w:hAnsi="Cambria"/>
        </w:rPr>
        <w:t xml:space="preserve">. </w:t>
      </w:r>
      <w:r w:rsidRPr="00CF7023">
        <w:rPr>
          <w:rFonts w:ascii="Cambria" w:hAnsi="Cambria"/>
        </w:rPr>
        <w:t>Establece los Puntos de Contacto de Producto (PCP).</w:t>
      </w:r>
    </w:p>
    <w:p w14:paraId="6448340A" w14:textId="77777777" w:rsidR="00A65383" w:rsidRPr="00CF7023" w:rsidRDefault="00A65383" w:rsidP="00176F49">
      <w:pPr>
        <w:jc w:val="both"/>
        <w:rPr>
          <w:rFonts w:ascii="Cambria" w:hAnsi="Cambria"/>
        </w:rPr>
      </w:pPr>
    </w:p>
    <w:sectPr w:rsidR="00A65383" w:rsidRPr="00CF7023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5F5DB" w14:textId="77777777" w:rsidR="00D76973" w:rsidRDefault="00D76973" w:rsidP="00D76973">
      <w:pPr>
        <w:spacing w:after="0" w:line="240" w:lineRule="auto"/>
      </w:pPr>
      <w:r>
        <w:separator/>
      </w:r>
    </w:p>
  </w:endnote>
  <w:endnote w:type="continuationSeparator" w:id="0">
    <w:p w14:paraId="410A8B3C" w14:textId="77777777" w:rsidR="00D76973" w:rsidRDefault="00D76973" w:rsidP="00D76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36DBA" w14:textId="77777777" w:rsidR="00D76973" w:rsidRDefault="00D76973" w:rsidP="00D76973">
      <w:pPr>
        <w:spacing w:after="0" w:line="240" w:lineRule="auto"/>
      </w:pPr>
      <w:r>
        <w:separator/>
      </w:r>
    </w:p>
  </w:footnote>
  <w:footnote w:type="continuationSeparator" w:id="0">
    <w:p w14:paraId="499848E7" w14:textId="77777777" w:rsidR="00D76973" w:rsidRDefault="00D76973" w:rsidP="00D769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E9016" w14:textId="14A2C91E" w:rsidR="00D76973" w:rsidRPr="00721CF9" w:rsidRDefault="00D76973" w:rsidP="00D76973">
    <w:pPr>
      <w:pStyle w:val="Encabezado"/>
      <w:jc w:val="both"/>
      <w:rPr>
        <w:rFonts w:ascii="Palatino Linotype" w:hAnsi="Palatino Linotype"/>
        <w:i/>
        <w:iCs/>
      </w:rPr>
    </w:pPr>
    <w:r w:rsidRPr="00721CF9">
      <w:rPr>
        <w:rFonts w:ascii="Palatino Linotype" w:hAnsi="Palatino Linotype"/>
        <w:b/>
        <w:bCs/>
        <w:i/>
        <w:iCs/>
      </w:rPr>
      <w:t>TEMA 30 -</w:t>
    </w:r>
    <w:r w:rsidRPr="00721CF9">
      <w:rPr>
        <w:rFonts w:ascii="Palatino Linotype" w:hAnsi="Palatino Linotype"/>
        <w:i/>
        <w:iCs/>
      </w:rPr>
      <w:t xml:space="preserve"> Política comunitaria en materia de normas y evaluación de la conformidad. Directivas de Enfoque global y de nuevo enfoque. El marcado CE. El principio de reconocimiento mutuo.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6260C"/>
    <w:multiLevelType w:val="multilevel"/>
    <w:tmpl w:val="ADC88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BF290F"/>
    <w:multiLevelType w:val="multilevel"/>
    <w:tmpl w:val="E0FA9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D767E1"/>
    <w:multiLevelType w:val="multilevel"/>
    <w:tmpl w:val="C3F04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E25B89"/>
    <w:multiLevelType w:val="multilevel"/>
    <w:tmpl w:val="D69CA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207835"/>
    <w:multiLevelType w:val="multilevel"/>
    <w:tmpl w:val="CBA6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CC5769"/>
    <w:multiLevelType w:val="multilevel"/>
    <w:tmpl w:val="3C226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26702C"/>
    <w:multiLevelType w:val="multilevel"/>
    <w:tmpl w:val="49CC9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3B7DF9"/>
    <w:multiLevelType w:val="multilevel"/>
    <w:tmpl w:val="1EA4F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0716080">
    <w:abstractNumId w:val="6"/>
  </w:num>
  <w:num w:numId="2" w16cid:durableId="1680572392">
    <w:abstractNumId w:val="2"/>
  </w:num>
  <w:num w:numId="3" w16cid:durableId="369261687">
    <w:abstractNumId w:val="5"/>
  </w:num>
  <w:num w:numId="4" w16cid:durableId="1510366202">
    <w:abstractNumId w:val="1"/>
  </w:num>
  <w:num w:numId="5" w16cid:durableId="1035273344">
    <w:abstractNumId w:val="4"/>
  </w:num>
  <w:num w:numId="6" w16cid:durableId="789055384">
    <w:abstractNumId w:val="3"/>
  </w:num>
  <w:num w:numId="7" w16cid:durableId="760881357">
    <w:abstractNumId w:val="0"/>
  </w:num>
  <w:num w:numId="8" w16cid:durableId="972566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973"/>
    <w:rsid w:val="00001B35"/>
    <w:rsid w:val="00077699"/>
    <w:rsid w:val="00144C61"/>
    <w:rsid w:val="00176F49"/>
    <w:rsid w:val="003152EC"/>
    <w:rsid w:val="005803BC"/>
    <w:rsid w:val="00721CF9"/>
    <w:rsid w:val="007A3032"/>
    <w:rsid w:val="00A65383"/>
    <w:rsid w:val="00A8675C"/>
    <w:rsid w:val="00C12CFD"/>
    <w:rsid w:val="00CF7023"/>
    <w:rsid w:val="00D76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52356F"/>
  <w15:chartTrackingRefBased/>
  <w15:docId w15:val="{48AFA254-3857-446E-860F-49136910C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69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769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69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69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69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69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69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69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69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D769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769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69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697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697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69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69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69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69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69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69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69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69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69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6973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D7697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69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697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697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769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76973"/>
  </w:style>
  <w:style w:type="paragraph" w:styleId="Piedepgina">
    <w:name w:val="footer"/>
    <w:basedOn w:val="Normal"/>
    <w:link w:val="PiedepginaCar"/>
    <w:uiPriority w:val="99"/>
    <w:unhideWhenUsed/>
    <w:rsid w:val="00D769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769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921</Words>
  <Characters>5070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5</cp:revision>
  <dcterms:created xsi:type="dcterms:W3CDTF">2025-11-24T09:16:00Z</dcterms:created>
  <dcterms:modified xsi:type="dcterms:W3CDTF">2026-01-14T14:28:00Z</dcterms:modified>
</cp:coreProperties>
</file>