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51713" w14:textId="77777777" w:rsidR="005364C1" w:rsidRPr="00501FD7" w:rsidRDefault="005364C1" w:rsidP="005364C1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01FD7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482308A5" w14:textId="77777777" w:rsidR="005364C1" w:rsidRPr="00501FD7" w:rsidRDefault="005364C1" w:rsidP="005364C1">
      <w:pPr>
        <w:numPr>
          <w:ilvl w:val="0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Contexto actual:</w:t>
      </w:r>
    </w:p>
    <w:p w14:paraId="030F8C7E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El comercio de mercancías ha crecido por encima del PIB debido a la internacionalización y globalización.</w:t>
      </w:r>
    </w:p>
    <w:p w14:paraId="068D7C7E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Existe una interrelación y dependencia creciente entre economías.</w:t>
      </w:r>
    </w:p>
    <w:p w14:paraId="7CEDA286" w14:textId="77777777" w:rsidR="005364C1" w:rsidRPr="00501FD7" w:rsidRDefault="005364C1" w:rsidP="005364C1">
      <w:pPr>
        <w:numPr>
          <w:ilvl w:val="0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Cambios relevantes en la configuración de los mercados:</w:t>
      </w:r>
    </w:p>
    <w:p w14:paraId="4380DAB8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Protagonismo adquirido por las PYMES.</w:t>
      </w:r>
    </w:p>
    <w:p w14:paraId="41538CB3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Proliferación de nuevas formas de acceso a los mercados.</w:t>
      </w:r>
    </w:p>
    <w:p w14:paraId="3D499049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Cooperación empresarial.</w:t>
      </w:r>
    </w:p>
    <w:p w14:paraId="4A311184" w14:textId="77777777" w:rsidR="005364C1" w:rsidRPr="00501FD7" w:rsidRDefault="005364C1" w:rsidP="005364C1">
      <w:pPr>
        <w:numPr>
          <w:ilvl w:val="0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Consecuencias:</w:t>
      </w:r>
      <w:r w:rsidRPr="00501FD7">
        <w:rPr>
          <w:rFonts w:ascii="Cambria" w:hAnsi="Cambria"/>
        </w:rPr>
        <w:t xml:space="preserve"> Incremento de la competencia y aparición de nuevas oportunidades.</w:t>
      </w:r>
    </w:p>
    <w:p w14:paraId="5779DC5A" w14:textId="77777777" w:rsidR="005364C1" w:rsidRPr="00501FD7" w:rsidRDefault="005364C1" w:rsidP="005364C1">
      <w:pPr>
        <w:numPr>
          <w:ilvl w:val="0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Estrategia:</w:t>
      </w:r>
      <w:r w:rsidRPr="00501FD7">
        <w:rPr>
          <w:rFonts w:ascii="Cambria" w:hAnsi="Cambria"/>
        </w:rPr>
        <w:t xml:space="preserve"> La internacionalización es clave para la supervivencia y requiere un Plan de Marketing Internacional.</w:t>
      </w:r>
    </w:p>
    <w:p w14:paraId="79075C02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Definición: Estudio y desarrollo de los mercados externos.</w:t>
      </w:r>
    </w:p>
    <w:p w14:paraId="2A61A779" w14:textId="77777777" w:rsidR="005364C1" w:rsidRPr="00501FD7" w:rsidRDefault="005364C1" w:rsidP="005364C1">
      <w:pPr>
        <w:numPr>
          <w:ilvl w:val="1"/>
          <w:numId w:val="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Fases: 1ª Estudio; 2ª Acción u operación en el mercado.</w:t>
      </w:r>
    </w:p>
    <w:p w14:paraId="7F629269" w14:textId="77777777" w:rsidR="005364C1" w:rsidRPr="00501FD7" w:rsidRDefault="005364C1" w:rsidP="005364C1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01FD7">
        <w:rPr>
          <w:rFonts w:ascii="Cambria" w:hAnsi="Cambria"/>
          <w:b/>
          <w:bCs/>
          <w:color w:val="auto"/>
          <w:sz w:val="28"/>
          <w:szCs w:val="28"/>
        </w:rPr>
        <w:t>2. El Marketing Internacional: Concepto y Funciones</w:t>
      </w:r>
    </w:p>
    <w:p w14:paraId="0397D4F6" w14:textId="77777777" w:rsidR="005364C1" w:rsidRPr="00501FD7" w:rsidRDefault="005364C1" w:rsidP="005364C1">
      <w:pPr>
        <w:numPr>
          <w:ilvl w:val="0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Definición:</w:t>
      </w:r>
      <w:r w:rsidRPr="00501FD7">
        <w:rPr>
          <w:rFonts w:ascii="Cambria" w:hAnsi="Cambria"/>
        </w:rPr>
        <w:t xml:space="preserve"> Interacción entre las necesidades y deseos del consumidor de los mercados exteriores y las respuestas de las empresas (productos y servicios).</w:t>
      </w:r>
    </w:p>
    <w:p w14:paraId="72D19CEF" w14:textId="77777777" w:rsidR="005364C1" w:rsidRPr="00501FD7" w:rsidRDefault="005364C1" w:rsidP="005364C1">
      <w:pPr>
        <w:numPr>
          <w:ilvl w:val="0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Función principal:</w:t>
      </w:r>
      <w:r w:rsidRPr="00501FD7">
        <w:rPr>
          <w:rFonts w:ascii="Cambria" w:hAnsi="Cambria"/>
        </w:rPr>
        <w:t xml:space="preserve"> Elaborar el Plan de Marketing Internacional.</w:t>
      </w:r>
    </w:p>
    <w:p w14:paraId="6E7E662C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Elaboración de estudios de mercado previos (análisis del entorno y selección).</w:t>
      </w:r>
    </w:p>
    <w:p w14:paraId="02228ED0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Elección de la forma de acceso e implantación.</w:t>
      </w:r>
    </w:p>
    <w:p w14:paraId="02CD798A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Elaboración de la estrategia de marketing.</w:t>
      </w:r>
    </w:p>
    <w:p w14:paraId="1FBC4A8D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Implantación y puesta en práctica del plan.</w:t>
      </w:r>
    </w:p>
    <w:p w14:paraId="1584BC2B" w14:textId="77777777" w:rsidR="005364C1" w:rsidRPr="00501FD7" w:rsidRDefault="005364C1" w:rsidP="005364C1">
      <w:pPr>
        <w:numPr>
          <w:ilvl w:val="0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Consideraciones para PYMES:</w:t>
      </w:r>
    </w:p>
    <w:p w14:paraId="20336B41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Limitaciones: Recursos financieros escasos, falta de expertos y campaña de impacto limitado.</w:t>
      </w:r>
    </w:p>
    <w:p w14:paraId="6FA667D7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Alternativa: Cooperación empresarial.</w:t>
      </w:r>
    </w:p>
    <w:p w14:paraId="5DEA8B08" w14:textId="77777777" w:rsidR="005364C1" w:rsidRPr="00501FD7" w:rsidRDefault="005364C1" w:rsidP="005364C1">
      <w:pPr>
        <w:numPr>
          <w:ilvl w:val="1"/>
          <w:numId w:val="2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lastRenderedPageBreak/>
        <w:t>Condiciones para cooperar: Productos complementarios (no competitivos), compatibles en calidad/tecnología y mismo poder de decisión en la planificación.</w:t>
      </w:r>
    </w:p>
    <w:p w14:paraId="09E4895A" w14:textId="77777777" w:rsidR="005364C1" w:rsidRPr="00501FD7" w:rsidRDefault="005364C1" w:rsidP="005364C1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01FD7">
        <w:rPr>
          <w:rFonts w:ascii="Cambria" w:hAnsi="Cambria"/>
          <w:b/>
          <w:bCs/>
          <w:color w:val="auto"/>
          <w:sz w:val="28"/>
          <w:szCs w:val="28"/>
        </w:rPr>
        <w:t>3. La Investigación de Mercados y las Fuentes de Información (1ª Fase)</w:t>
      </w:r>
    </w:p>
    <w:p w14:paraId="1F75F433" w14:textId="77777777" w:rsidR="005364C1" w:rsidRPr="00501FD7" w:rsidRDefault="005364C1" w:rsidP="005364C1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501FD7">
        <w:rPr>
          <w:rFonts w:ascii="Cambria" w:hAnsi="Cambria"/>
          <w:b/>
          <w:bCs/>
          <w:color w:val="auto"/>
          <w:sz w:val="24"/>
          <w:szCs w:val="24"/>
        </w:rPr>
        <w:t>3.1. La investigación de mercados</w:t>
      </w:r>
    </w:p>
    <w:p w14:paraId="0B260C57" w14:textId="6EF13300" w:rsidR="005364C1" w:rsidRPr="00501FD7" w:rsidRDefault="005364C1" w:rsidP="005364C1">
      <w:pPr>
        <w:numPr>
          <w:ilvl w:val="0"/>
          <w:numId w:val="3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Decisión inicial sobre el alcance</w:t>
      </w:r>
      <w:r w:rsidR="004E432E" w:rsidRPr="00501FD7">
        <w:rPr>
          <w:rFonts w:ascii="Cambria" w:hAnsi="Cambria"/>
        </w:rPr>
        <w:t>.</w:t>
      </w:r>
    </w:p>
    <w:p w14:paraId="4DB427D7" w14:textId="519B5824" w:rsidR="005364C1" w:rsidRPr="00501FD7" w:rsidRDefault="005364C1" w:rsidP="005364C1">
      <w:pPr>
        <w:jc w:val="both"/>
        <w:rPr>
          <w:rFonts w:ascii="Cambria" w:hAnsi="Cambria"/>
          <w:b/>
          <w:bCs/>
          <w:u w:val="single"/>
        </w:rPr>
      </w:pPr>
      <w:r w:rsidRPr="00501FD7">
        <w:rPr>
          <w:rFonts w:ascii="Cambria" w:hAnsi="Cambria"/>
          <w:b/>
          <w:bCs/>
          <w:u w:val="single"/>
        </w:rPr>
        <w:t>Estrategias de alcance</w:t>
      </w:r>
    </w:p>
    <w:p w14:paraId="136952D4" w14:textId="77777777" w:rsidR="005364C1" w:rsidRPr="00501FD7" w:rsidRDefault="005364C1" w:rsidP="005364C1">
      <w:pPr>
        <w:numPr>
          <w:ilvl w:val="0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Concentración (uno o pocos mercados):</w:t>
      </w:r>
    </w:p>
    <w:p w14:paraId="4A9B3BD3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Focalización de recursos y penetración intensa. Crecimiento inicial más lento.</w:t>
      </w:r>
    </w:p>
    <w:p w14:paraId="4052D8F5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Ventajas:</w:t>
      </w:r>
      <w:r w:rsidRPr="00501FD7">
        <w:rPr>
          <w:rFonts w:ascii="Cambria" w:hAnsi="Cambria"/>
        </w:rPr>
        <w:t xml:space="preserve"> Mejor conocimiento y adaptación al mercado, reducción de costes logísticos/administrativos y mayor control del riesgo de clientes.</w:t>
      </w:r>
    </w:p>
    <w:p w14:paraId="4559F789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Uso recomendado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Elevados costes de penetración/seguimiento, etapa intermedia de internacionalización o producto en etapa intermedia de su ciclo de vida.</w:t>
      </w:r>
    </w:p>
    <w:p w14:paraId="277A1604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Inconveniente:</w:t>
      </w:r>
      <w:r w:rsidRPr="00501FD7">
        <w:rPr>
          <w:rFonts w:ascii="Cambria" w:hAnsi="Cambria"/>
        </w:rPr>
        <w:t xml:space="preserve"> Mayor riesgo por dependencia de pocos mercados.</w:t>
      </w:r>
    </w:p>
    <w:p w14:paraId="11AB69BA" w14:textId="77777777" w:rsidR="005364C1" w:rsidRPr="00501FD7" w:rsidRDefault="005364C1" w:rsidP="005364C1">
      <w:pPr>
        <w:numPr>
          <w:ilvl w:val="0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Diversificación (muchos mercados):</w:t>
      </w:r>
    </w:p>
    <w:p w14:paraId="7803C8FA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Bajo nivel de penetración inicial simultáneo. Crecimiento más rápido al inicio.</w:t>
      </w:r>
    </w:p>
    <w:p w14:paraId="444218CE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Ventajas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Aprovechamiento de economías de escala, información comparada global, explotación de ventajas competitivas a corto plazo y evitar enfrentamientos directos.</w:t>
      </w:r>
    </w:p>
    <w:p w14:paraId="36BE6596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Uso recomendado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Importancia de economías de escala, gran competencia vía precio, alta especialización del segmento, fase inicial o muy introducida, producto en nacimiento o madurez.</w:t>
      </w:r>
    </w:p>
    <w:p w14:paraId="414C01A9" w14:textId="77777777" w:rsidR="005364C1" w:rsidRPr="00501FD7" w:rsidRDefault="005364C1" w:rsidP="005364C1">
      <w:pPr>
        <w:numPr>
          <w:ilvl w:val="1"/>
          <w:numId w:val="4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Inconveniente:</w:t>
      </w:r>
      <w:r w:rsidRPr="00501FD7">
        <w:rPr>
          <w:rFonts w:ascii="Cambria" w:hAnsi="Cambria"/>
        </w:rPr>
        <w:t xml:space="preserve"> Mayor dispersión de recursos y posición vulnerable.</w:t>
      </w:r>
    </w:p>
    <w:p w14:paraId="1BE885E4" w14:textId="2285DB43" w:rsidR="005364C1" w:rsidRPr="00501FD7" w:rsidRDefault="005364C1" w:rsidP="005364C1">
      <w:pPr>
        <w:jc w:val="both"/>
        <w:rPr>
          <w:rFonts w:ascii="Cambria" w:hAnsi="Cambria"/>
          <w:b/>
          <w:bCs/>
          <w:u w:val="single"/>
        </w:rPr>
      </w:pPr>
      <w:r w:rsidRPr="00501FD7">
        <w:rPr>
          <w:rFonts w:ascii="Cambria" w:hAnsi="Cambria"/>
          <w:b/>
          <w:bCs/>
          <w:u w:val="single"/>
        </w:rPr>
        <w:t>Etapas de selección de mercados</w:t>
      </w:r>
    </w:p>
    <w:p w14:paraId="426538F8" w14:textId="77777777" w:rsidR="005364C1" w:rsidRPr="00501FD7" w:rsidRDefault="005364C1" w:rsidP="005364C1">
      <w:pPr>
        <w:jc w:val="both"/>
        <w:rPr>
          <w:rFonts w:ascii="Cambria" w:hAnsi="Cambria"/>
        </w:rPr>
      </w:pPr>
      <w:r w:rsidRPr="00501FD7">
        <w:rPr>
          <w:rFonts w:ascii="Cambria" w:hAnsi="Cambria"/>
        </w:rPr>
        <w:t>La investigación debe responder a 5 cuestiones claves: selección, forma de acceso, clientes potenciales, precio y recursos/rentabilidad.</w:t>
      </w:r>
    </w:p>
    <w:p w14:paraId="40476453" w14:textId="0FCDE3B4" w:rsidR="005364C1" w:rsidRPr="00501FD7" w:rsidRDefault="005364C1" w:rsidP="005364C1">
      <w:pPr>
        <w:numPr>
          <w:ilvl w:val="0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1ª Fase: Preselección:</w:t>
      </w:r>
    </w:p>
    <w:p w14:paraId="0DE0A304" w14:textId="77777777" w:rsidR="005364C1" w:rsidRPr="00501FD7" w:rsidRDefault="005364C1" w:rsidP="005364C1">
      <w:pPr>
        <w:numPr>
          <w:ilvl w:val="1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lastRenderedPageBreak/>
        <w:t>Información secundaria obtenida desde el despacho para determinar el atractivo.</w:t>
      </w:r>
    </w:p>
    <w:p w14:paraId="7DDA8247" w14:textId="77777777" w:rsidR="005364C1" w:rsidRPr="00501FD7" w:rsidRDefault="005364C1" w:rsidP="005364C1">
      <w:pPr>
        <w:numPr>
          <w:ilvl w:val="1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Variables analizadas:</w:t>
      </w:r>
    </w:p>
    <w:p w14:paraId="42C4D5FA" w14:textId="77777777" w:rsidR="005364C1" w:rsidRPr="00501FD7" w:rsidRDefault="005364C1" w:rsidP="005364C1">
      <w:pPr>
        <w:numPr>
          <w:ilvl w:val="2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Potencial:</w:t>
      </w:r>
      <w:r w:rsidRPr="00501FD7">
        <w:rPr>
          <w:rFonts w:ascii="Cambria" w:hAnsi="Cambria"/>
        </w:rPr>
        <w:t xml:space="preserve"> Capacidad de compra. Datos necesarios: PIB, población, renta, tasa de paro, perspectivas de crecimiento, volumen de importación y tasa de apertura.</w:t>
      </w:r>
    </w:p>
    <w:p w14:paraId="1451BF26" w14:textId="279657DB" w:rsidR="005364C1" w:rsidRPr="00501FD7" w:rsidRDefault="005364C1" w:rsidP="005364C1">
      <w:pPr>
        <w:numPr>
          <w:ilvl w:val="2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Accesibilidad:</w:t>
      </w:r>
      <w:r w:rsidRPr="00501FD7">
        <w:rPr>
          <w:rFonts w:ascii="Cambria" w:hAnsi="Cambria"/>
        </w:rPr>
        <w:t xml:space="preserve"> Obstáculos. Situación geográfica (distancia/transporte), factores socioculturales</w:t>
      </w:r>
      <w:r w:rsidR="004E432E" w:rsidRPr="00501FD7">
        <w:rPr>
          <w:rFonts w:ascii="Cambria" w:hAnsi="Cambria"/>
        </w:rPr>
        <w:t xml:space="preserve">, </w:t>
      </w:r>
      <w:r w:rsidRPr="00501FD7">
        <w:rPr>
          <w:rFonts w:ascii="Cambria" w:hAnsi="Cambria"/>
        </w:rPr>
        <w:t>barreras arancelarias y barreras no arancelarias/técnicas (salud, seguridad, calidad).</w:t>
      </w:r>
    </w:p>
    <w:p w14:paraId="1F1EDACA" w14:textId="77777777" w:rsidR="005364C1" w:rsidRPr="00501FD7" w:rsidRDefault="005364C1" w:rsidP="005364C1">
      <w:pPr>
        <w:numPr>
          <w:ilvl w:val="2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Seguridad:</w:t>
      </w:r>
      <w:r w:rsidRPr="00501FD7">
        <w:rPr>
          <w:rFonts w:ascii="Cambria" w:hAnsi="Cambria"/>
        </w:rPr>
        <w:t xml:space="preserve"> Riesgos comerciales y de inversiones (ej. nacionalizaciones).</w:t>
      </w:r>
    </w:p>
    <w:p w14:paraId="7DBC43E2" w14:textId="77777777" w:rsidR="005364C1" w:rsidRPr="00501FD7" w:rsidRDefault="005364C1" w:rsidP="005364C1">
      <w:pPr>
        <w:numPr>
          <w:ilvl w:val="0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2ª Fase: Investigación en profundidad:</w:t>
      </w:r>
    </w:p>
    <w:p w14:paraId="3A852066" w14:textId="77777777" w:rsidR="005364C1" w:rsidRPr="00501FD7" w:rsidRDefault="005364C1" w:rsidP="005364C1">
      <w:pPr>
        <w:numPr>
          <w:ilvl w:val="1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Obtención de información primaria para la toma de decisiones.</w:t>
      </w:r>
    </w:p>
    <w:p w14:paraId="2038C718" w14:textId="77777777" w:rsidR="005364C1" w:rsidRPr="00501FD7" w:rsidRDefault="005364C1" w:rsidP="005364C1">
      <w:pPr>
        <w:numPr>
          <w:ilvl w:val="1"/>
          <w:numId w:val="5"/>
        </w:numPr>
        <w:jc w:val="both"/>
        <w:rPr>
          <w:rFonts w:ascii="Cambria" w:hAnsi="Cambria"/>
        </w:rPr>
      </w:pPr>
      <w:proofErr w:type="gramStart"/>
      <w:r w:rsidRPr="00501FD7">
        <w:rPr>
          <w:rFonts w:ascii="Cambria" w:hAnsi="Cambria"/>
        </w:rPr>
        <w:t>Aspectos a investigar</w:t>
      </w:r>
      <w:proofErr w:type="gramEnd"/>
      <w:r w:rsidRPr="00501FD7">
        <w:rPr>
          <w:rFonts w:ascii="Cambria" w:hAnsi="Cambria"/>
        </w:rPr>
        <w:t>:</w:t>
      </w:r>
    </w:p>
    <w:p w14:paraId="3D3A959F" w14:textId="77777777" w:rsidR="005364C1" w:rsidRPr="00501FD7" w:rsidRDefault="005364C1" w:rsidP="005364C1">
      <w:pPr>
        <w:numPr>
          <w:ilvl w:val="2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Consumidores:</w:t>
      </w:r>
      <w:r w:rsidRPr="00501FD7">
        <w:rPr>
          <w:rFonts w:ascii="Cambria" w:hAnsi="Cambria"/>
        </w:rPr>
        <w:t xml:space="preserve"> Hábitos de compra (lugar, frecuencia, motivación). Necesidad de adaptación del producto (sabores, envases, normativa) e imagen del país de origen.</w:t>
      </w:r>
    </w:p>
    <w:p w14:paraId="0B8ACD8E" w14:textId="77777777" w:rsidR="005364C1" w:rsidRPr="00501FD7" w:rsidRDefault="005364C1" w:rsidP="005364C1">
      <w:pPr>
        <w:numPr>
          <w:ilvl w:val="2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Competencia:</w:t>
      </w:r>
      <w:r w:rsidRPr="00501FD7">
        <w:rPr>
          <w:rFonts w:ascii="Cambria" w:hAnsi="Cambria"/>
        </w:rPr>
        <w:t xml:space="preserve"> Fabricantes locales y productos importados, cuotas de mercado, precios y márgenes.</w:t>
      </w:r>
    </w:p>
    <w:p w14:paraId="66FC7D6D" w14:textId="77777777" w:rsidR="005364C1" w:rsidRPr="00501FD7" w:rsidRDefault="005364C1" w:rsidP="005364C1">
      <w:pPr>
        <w:numPr>
          <w:ilvl w:val="2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Canales de distribución:</w:t>
      </w:r>
      <w:r w:rsidRPr="00501FD7">
        <w:rPr>
          <w:rFonts w:ascii="Cambria" w:hAnsi="Cambria"/>
        </w:rPr>
        <w:t xml:space="preserve"> Tipos de intermediarios, peso de mayoristas/minoristas, logística.</w:t>
      </w:r>
    </w:p>
    <w:p w14:paraId="7F64AB51" w14:textId="77777777" w:rsidR="005364C1" w:rsidRPr="00501FD7" w:rsidRDefault="005364C1" w:rsidP="005364C1">
      <w:pPr>
        <w:numPr>
          <w:ilvl w:val="1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Diferencias con mercado doméstico:</w:t>
      </w:r>
      <w:r w:rsidRPr="00501FD7">
        <w:rPr>
          <w:rFonts w:ascii="Cambria" w:hAnsi="Cambria"/>
        </w:rPr>
        <w:t xml:space="preserve"> Mayor complejidad (variables legales/costumbres), necesidad de adaptar técnicas, mayor coste por distancia y mayor porcentaje de error.</w:t>
      </w:r>
    </w:p>
    <w:p w14:paraId="540D31C5" w14:textId="77777777" w:rsidR="005364C1" w:rsidRPr="00501FD7" w:rsidRDefault="005364C1" w:rsidP="005364C1">
      <w:pPr>
        <w:numPr>
          <w:ilvl w:val="0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3ª Fase: Selección de los mercados objetivo:</w:t>
      </w:r>
    </w:p>
    <w:p w14:paraId="193B2969" w14:textId="77777777" w:rsidR="005364C1" w:rsidRPr="00501FD7" w:rsidRDefault="005364C1" w:rsidP="005364C1">
      <w:pPr>
        <w:numPr>
          <w:ilvl w:val="1"/>
          <w:numId w:val="5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Criterios: Tamaño del mercado, fase de crecimiento, precio, ventaja comparativa, canales de distribución y relación coste-rentabilidad.</w:t>
      </w:r>
    </w:p>
    <w:p w14:paraId="0DB068A1" w14:textId="2B2503E3" w:rsidR="005364C1" w:rsidRPr="00501FD7" w:rsidRDefault="005364C1" w:rsidP="005364C1">
      <w:pPr>
        <w:jc w:val="both"/>
        <w:rPr>
          <w:rFonts w:ascii="Cambria" w:hAnsi="Cambria"/>
          <w:b/>
          <w:bCs/>
          <w:u w:val="single"/>
        </w:rPr>
      </w:pPr>
      <w:r w:rsidRPr="00501FD7">
        <w:rPr>
          <w:rFonts w:ascii="Cambria" w:hAnsi="Cambria"/>
          <w:b/>
          <w:bCs/>
          <w:u w:val="single"/>
        </w:rPr>
        <w:t>Forma de obtener los datos</w:t>
      </w:r>
    </w:p>
    <w:p w14:paraId="43AAA6E7" w14:textId="77777777" w:rsidR="005364C1" w:rsidRPr="00501FD7" w:rsidRDefault="005364C1" w:rsidP="005364C1">
      <w:pPr>
        <w:numPr>
          <w:ilvl w:val="0"/>
          <w:numId w:val="6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Métodos básicos: Cuestionarios (estructurados y no estructurados) y Observación.</w:t>
      </w:r>
    </w:p>
    <w:p w14:paraId="04D1D186" w14:textId="77777777" w:rsidR="005364C1" w:rsidRPr="00501FD7" w:rsidRDefault="005364C1" w:rsidP="005364C1">
      <w:pPr>
        <w:jc w:val="both"/>
        <w:rPr>
          <w:rFonts w:ascii="Cambria" w:hAnsi="Cambria"/>
          <w:b/>
          <w:bCs/>
        </w:rPr>
      </w:pPr>
      <w:r w:rsidRPr="00501FD7">
        <w:rPr>
          <w:rFonts w:ascii="Cambria" w:hAnsi="Cambria"/>
          <w:b/>
          <w:bCs/>
        </w:rPr>
        <w:t>3.2. Las fuentes de información</w:t>
      </w:r>
    </w:p>
    <w:p w14:paraId="005FC0D9" w14:textId="77777777" w:rsidR="005364C1" w:rsidRPr="00501FD7" w:rsidRDefault="005364C1" w:rsidP="005364C1">
      <w:pPr>
        <w:numPr>
          <w:ilvl w:val="0"/>
          <w:numId w:val="7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Información Secundaria:</w:t>
      </w:r>
      <w:r w:rsidRPr="00501FD7">
        <w:rPr>
          <w:rFonts w:ascii="Cambria" w:hAnsi="Cambria"/>
        </w:rPr>
        <w:t xml:space="preserve"> Datos de dominio público (búsqueda propia en internet/bibliotecas).</w:t>
      </w:r>
    </w:p>
    <w:p w14:paraId="7475FD06" w14:textId="77777777" w:rsidR="005364C1" w:rsidRPr="00501FD7" w:rsidRDefault="005364C1" w:rsidP="005364C1">
      <w:pPr>
        <w:numPr>
          <w:ilvl w:val="0"/>
          <w:numId w:val="7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lastRenderedPageBreak/>
        <w:t>Información Primaria:</w:t>
      </w:r>
      <w:r w:rsidRPr="00501FD7">
        <w:rPr>
          <w:rFonts w:ascii="Cambria" w:hAnsi="Cambria"/>
        </w:rPr>
        <w:t xml:space="preserve"> Investigación a fondo del mercado.</w:t>
      </w:r>
    </w:p>
    <w:p w14:paraId="6D78D839" w14:textId="77777777" w:rsidR="005364C1" w:rsidRPr="00501FD7" w:rsidRDefault="005364C1" w:rsidP="005364C1">
      <w:p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Principales fuentes:</w:t>
      </w:r>
    </w:p>
    <w:p w14:paraId="500BF379" w14:textId="77777777" w:rsidR="005364C1" w:rsidRPr="00501FD7" w:rsidRDefault="005364C1" w:rsidP="005364C1">
      <w:pPr>
        <w:numPr>
          <w:ilvl w:val="0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ICEX España Exportación e Inversiones:</w:t>
      </w:r>
    </w:p>
    <w:p w14:paraId="75885108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Entidad pública empresarial adscrita a la Secretaría de Estado de Comercio.</w:t>
      </w:r>
    </w:p>
    <w:p w14:paraId="09998537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Misión:</w:t>
      </w:r>
      <w:r w:rsidRPr="00501FD7">
        <w:rPr>
          <w:rFonts w:ascii="Cambria" w:hAnsi="Cambria"/>
        </w:rPr>
        <w:t xml:space="preserve"> Promover internacionalización y atraer inversiones exteriores.</w:t>
      </w:r>
    </w:p>
    <w:p w14:paraId="61983245" w14:textId="5C263B80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 xml:space="preserve">Red: </w:t>
      </w:r>
      <w:r w:rsidR="004E432E" w:rsidRPr="00501FD7">
        <w:rPr>
          <w:rFonts w:ascii="Cambria" w:hAnsi="Cambria"/>
        </w:rPr>
        <w:t xml:space="preserve">Alrededor </w:t>
      </w:r>
      <w:r w:rsidRPr="00501FD7">
        <w:rPr>
          <w:rFonts w:ascii="Cambria" w:hAnsi="Cambria"/>
        </w:rPr>
        <w:t>3</w:t>
      </w:r>
      <w:r w:rsidR="004E432E" w:rsidRPr="00501FD7">
        <w:rPr>
          <w:rFonts w:ascii="Cambria" w:hAnsi="Cambria"/>
        </w:rPr>
        <w:t>0</w:t>
      </w:r>
      <w:r w:rsidRPr="00501FD7">
        <w:rPr>
          <w:rFonts w:ascii="Cambria" w:hAnsi="Cambria"/>
        </w:rPr>
        <w:t xml:space="preserve"> Direcciones en España, </w:t>
      </w:r>
      <w:r w:rsidR="004E432E" w:rsidRPr="00501FD7">
        <w:rPr>
          <w:rFonts w:ascii="Cambria" w:hAnsi="Cambria"/>
        </w:rPr>
        <w:t xml:space="preserve">de </w:t>
      </w:r>
      <w:r w:rsidRPr="00501FD7">
        <w:rPr>
          <w:rFonts w:ascii="Cambria" w:hAnsi="Cambria"/>
        </w:rPr>
        <w:t>100 Oficinas Económicas y Comerciales (OFECOMES) y 3</w:t>
      </w:r>
      <w:r w:rsidR="004E432E" w:rsidRPr="00501FD7">
        <w:rPr>
          <w:rFonts w:ascii="Cambria" w:hAnsi="Cambria"/>
        </w:rPr>
        <w:t>0</w:t>
      </w:r>
      <w:r w:rsidRPr="00501FD7">
        <w:rPr>
          <w:rFonts w:ascii="Cambria" w:hAnsi="Cambria"/>
        </w:rPr>
        <w:t xml:space="preserve"> Centros de Negocio en el extranjero.</w:t>
      </w:r>
    </w:p>
    <w:p w14:paraId="26CD701D" w14:textId="40B8B99B" w:rsidR="005364C1" w:rsidRPr="00501FD7" w:rsidRDefault="005364C1" w:rsidP="004E432E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Servicios: Información</w:t>
      </w:r>
      <w:r w:rsidR="004E432E" w:rsidRPr="00501FD7">
        <w:rPr>
          <w:rFonts w:ascii="Cambria" w:hAnsi="Cambria"/>
        </w:rPr>
        <w:t xml:space="preserve">, </w:t>
      </w:r>
      <w:r w:rsidRPr="00501FD7">
        <w:rPr>
          <w:rFonts w:ascii="Cambria" w:hAnsi="Cambria"/>
        </w:rPr>
        <w:t>Formación, Asesoramiento, Promoción comercial, Apoyo directo</w:t>
      </w:r>
      <w:r w:rsidR="004E432E" w:rsidRPr="00501FD7">
        <w:rPr>
          <w:rFonts w:ascii="Cambria" w:hAnsi="Cambria"/>
        </w:rPr>
        <w:t xml:space="preserve">, </w:t>
      </w:r>
      <w:r w:rsidRPr="00501FD7">
        <w:rPr>
          <w:rFonts w:ascii="Cambria" w:hAnsi="Cambria"/>
        </w:rPr>
        <w:t>Foros de inversión y Producción editorial.</w:t>
      </w:r>
    </w:p>
    <w:p w14:paraId="3252C35B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Estrategia:</w:t>
      </w:r>
      <w:r w:rsidRPr="00501FD7">
        <w:rPr>
          <w:rFonts w:ascii="Cambria" w:hAnsi="Cambria"/>
        </w:rPr>
        <w:t xml:space="preserve"> Enmarcada en la Estrategia de Internacionalización 2017-2027 y Planes de Acción Bienales. Objetivos: Aumentar base exportadora, diversificar mercados, incrementar valor añadido y atraer inversión.</w:t>
      </w:r>
    </w:p>
    <w:p w14:paraId="2C1D4417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Plan Estratégico ICEX 2021-2022:</w:t>
      </w:r>
      <w:r w:rsidRPr="00501FD7">
        <w:rPr>
          <w:rFonts w:ascii="Cambria" w:hAnsi="Cambria"/>
        </w:rPr>
        <w:t xml:space="preserve"> Misión de resiliencia y sostenibilidad. 6 objetivos principales (incluye digitalización, atracción de talento y mejora de gobernanza).</w:t>
      </w:r>
    </w:p>
    <w:p w14:paraId="79C9EB83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Actuaciones recientes:</w:t>
      </w:r>
      <w:r w:rsidRPr="00501FD7">
        <w:rPr>
          <w:rFonts w:ascii="Cambria" w:hAnsi="Cambria"/>
        </w:rPr>
        <w:t xml:space="preserve"> Ventana Global (2014), colaboración con COFIDES, Departamento de Tecnologías Facilitadoras Esenciales, Red de Inversores.</w:t>
      </w:r>
    </w:p>
    <w:p w14:paraId="525CF387" w14:textId="77777777" w:rsidR="005364C1" w:rsidRPr="00501FD7" w:rsidRDefault="005364C1" w:rsidP="005364C1">
      <w:pPr>
        <w:numPr>
          <w:ilvl w:val="0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Oficinas Económicas y Comerciales (OFECOMES):</w:t>
      </w:r>
    </w:p>
    <w:p w14:paraId="52F77475" w14:textId="16769D82" w:rsidR="005364C1" w:rsidRPr="00501FD7" w:rsidRDefault="004E432E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 xml:space="preserve">Alrededor de </w:t>
      </w:r>
      <w:r w:rsidR="005364C1" w:rsidRPr="00501FD7">
        <w:rPr>
          <w:rFonts w:ascii="Cambria" w:hAnsi="Cambria"/>
        </w:rPr>
        <w:t>100 oficinas. Funciones: Representación oficial y apoyo a empresas (estadísticas, aranceles, normativa, ferias, contactos).</w:t>
      </w:r>
    </w:p>
    <w:p w14:paraId="7A3B945A" w14:textId="77777777" w:rsidR="005364C1" w:rsidRPr="00501FD7" w:rsidRDefault="005364C1" w:rsidP="005364C1">
      <w:pPr>
        <w:numPr>
          <w:ilvl w:val="0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Cámaras de Comercio:</w:t>
      </w:r>
    </w:p>
    <w:p w14:paraId="5AB73775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Casi 90 en España. Objetivo: Fomento del comercio exterior. Servicios: Asesoramiento, estudios de mercado, bases de datos, censo de exportadores.</w:t>
      </w:r>
    </w:p>
    <w:p w14:paraId="41D75999" w14:textId="5AFF1AB0" w:rsidR="005364C1" w:rsidRPr="00501FD7" w:rsidRDefault="005364C1" w:rsidP="005364C1">
      <w:pPr>
        <w:numPr>
          <w:ilvl w:val="0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Servicios de la Secretaría de Estado de Comercio (MINECO):</w:t>
      </w:r>
    </w:p>
    <w:p w14:paraId="7D95111A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DATA-COMEX:</w:t>
      </w:r>
      <w:r w:rsidRPr="00501FD7">
        <w:rPr>
          <w:rFonts w:ascii="Cambria" w:hAnsi="Cambria"/>
        </w:rPr>
        <w:t xml:space="preserve"> Estadísticas de comercio exterior (desde 1995).</w:t>
      </w:r>
    </w:p>
    <w:p w14:paraId="5ABE206F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DATA-INVEX:</w:t>
      </w:r>
      <w:r w:rsidRPr="00501FD7">
        <w:rPr>
          <w:rFonts w:ascii="Cambria" w:hAnsi="Cambria"/>
        </w:rPr>
        <w:t xml:space="preserve"> Estadísticas de inversiones (desde 1993).</w:t>
      </w:r>
    </w:p>
    <w:p w14:paraId="4AEF2441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i/>
          <w:iCs/>
        </w:rPr>
        <w:t>GLOBALINVEX:</w:t>
      </w:r>
      <w:r w:rsidRPr="00501FD7">
        <w:rPr>
          <w:rFonts w:ascii="Cambria" w:hAnsi="Cambria"/>
        </w:rPr>
        <w:t xml:space="preserve"> Herramienta gráfica de visualización de inversiones (creada a finales de 2020).</w:t>
      </w:r>
    </w:p>
    <w:p w14:paraId="534EBAF6" w14:textId="77777777" w:rsidR="005364C1" w:rsidRPr="00501FD7" w:rsidRDefault="005364C1" w:rsidP="005364C1">
      <w:pPr>
        <w:numPr>
          <w:ilvl w:val="0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Unión Europea:</w:t>
      </w:r>
    </w:p>
    <w:p w14:paraId="0E67580C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lastRenderedPageBreak/>
        <w:t>EUROSTAT (datos económicos/población; en España INE).</w:t>
      </w:r>
    </w:p>
    <w:p w14:paraId="2DA96E52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 xml:space="preserve">Instrumentos: Access 2 </w:t>
      </w:r>
      <w:proofErr w:type="spellStart"/>
      <w:r w:rsidRPr="00501FD7">
        <w:rPr>
          <w:rFonts w:ascii="Cambria" w:hAnsi="Cambria"/>
        </w:rPr>
        <w:t>Markets</w:t>
      </w:r>
      <w:proofErr w:type="spellEnd"/>
      <w:r w:rsidRPr="00501FD7">
        <w:rPr>
          <w:rFonts w:ascii="Cambria" w:hAnsi="Cambria"/>
        </w:rPr>
        <w:t xml:space="preserve"> (barreras, aranceles, requisitos técnicos), </w:t>
      </w:r>
      <w:proofErr w:type="spellStart"/>
      <w:r w:rsidRPr="00501FD7">
        <w:rPr>
          <w:rFonts w:ascii="Cambria" w:hAnsi="Cambria"/>
        </w:rPr>
        <w:t>Euroventanillas</w:t>
      </w:r>
      <w:proofErr w:type="spellEnd"/>
      <w:r w:rsidRPr="00501FD7">
        <w:rPr>
          <w:rFonts w:ascii="Cambria" w:hAnsi="Cambria"/>
        </w:rPr>
        <w:t xml:space="preserve"> (red de información), Red BC-net (cooperación empresarial).</w:t>
      </w:r>
    </w:p>
    <w:p w14:paraId="57FA0ED6" w14:textId="77777777" w:rsidR="005364C1" w:rsidRPr="00501FD7" w:rsidRDefault="005364C1" w:rsidP="005364C1">
      <w:pPr>
        <w:numPr>
          <w:ilvl w:val="0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Otras fuentes:</w:t>
      </w:r>
    </w:p>
    <w:p w14:paraId="2F1819C9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 xml:space="preserve">Públicas: Delegaciones comerciales de </w:t>
      </w:r>
      <w:proofErr w:type="gramStart"/>
      <w:r w:rsidRPr="00501FD7">
        <w:rPr>
          <w:rFonts w:ascii="Cambria" w:hAnsi="Cambria"/>
        </w:rPr>
        <w:t>Embajadas extranjeras</w:t>
      </w:r>
      <w:proofErr w:type="gramEnd"/>
      <w:r w:rsidRPr="00501FD7">
        <w:rPr>
          <w:rFonts w:ascii="Cambria" w:hAnsi="Cambria"/>
        </w:rPr>
        <w:t xml:space="preserve"> (ej. JETRO), Cámaras de Comercio españolas en el extranjero, Asociaciones de exportadores, Entidades de Promoción de las CCAA (ej. </w:t>
      </w:r>
      <w:proofErr w:type="spellStart"/>
      <w:r w:rsidRPr="00501FD7">
        <w:rPr>
          <w:rFonts w:ascii="Cambria" w:hAnsi="Cambria"/>
        </w:rPr>
        <w:t>Extenda</w:t>
      </w:r>
      <w:proofErr w:type="spellEnd"/>
      <w:r w:rsidRPr="00501FD7">
        <w:rPr>
          <w:rFonts w:ascii="Cambria" w:hAnsi="Cambria"/>
        </w:rPr>
        <w:t xml:space="preserve">, </w:t>
      </w:r>
      <w:proofErr w:type="spellStart"/>
      <w:r w:rsidRPr="00501FD7">
        <w:rPr>
          <w:rFonts w:ascii="Cambria" w:hAnsi="Cambria"/>
        </w:rPr>
        <w:t>Acció</w:t>
      </w:r>
      <w:proofErr w:type="spellEnd"/>
      <w:r w:rsidRPr="00501FD7">
        <w:rPr>
          <w:rFonts w:ascii="Cambria" w:hAnsi="Cambria"/>
        </w:rPr>
        <w:t>).</w:t>
      </w:r>
    </w:p>
    <w:p w14:paraId="4AA1F907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Privadas: Consultoras especializadas (ej. AC Nielsen).</w:t>
      </w:r>
    </w:p>
    <w:p w14:paraId="42DB668C" w14:textId="77777777" w:rsidR="005364C1" w:rsidRPr="00501FD7" w:rsidRDefault="005364C1" w:rsidP="005364C1">
      <w:pPr>
        <w:numPr>
          <w:ilvl w:val="1"/>
          <w:numId w:val="8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Internet: Herramienta fundamental de búsqueda.</w:t>
      </w:r>
    </w:p>
    <w:p w14:paraId="75F9DD00" w14:textId="701ED759" w:rsidR="005364C1" w:rsidRPr="00501FD7" w:rsidRDefault="005364C1" w:rsidP="005364C1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01FD7">
        <w:rPr>
          <w:rFonts w:ascii="Cambria" w:hAnsi="Cambria"/>
          <w:b/>
          <w:bCs/>
          <w:color w:val="auto"/>
          <w:sz w:val="28"/>
          <w:szCs w:val="28"/>
        </w:rPr>
        <w:t>4. Marketing Mix: Concepto y Componentes</w:t>
      </w:r>
    </w:p>
    <w:p w14:paraId="0DA04888" w14:textId="28CE6E3F" w:rsidR="005364C1" w:rsidRPr="00501FD7" w:rsidRDefault="005364C1" w:rsidP="005364C1">
      <w:pPr>
        <w:numPr>
          <w:ilvl w:val="0"/>
          <w:numId w:val="9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Concepto:</w:t>
      </w:r>
      <w:r w:rsidRPr="00501FD7">
        <w:rPr>
          <w:rFonts w:ascii="Cambria" w:hAnsi="Cambria"/>
        </w:rPr>
        <w:t xml:space="preserve"> Fase de acción u operación. Planificación estratégica de 4 variables (4Ps): Producto, Precio, Promoción/Comunicación</w:t>
      </w:r>
      <w:r w:rsidR="004E432E" w:rsidRPr="00501FD7">
        <w:rPr>
          <w:rFonts w:ascii="Cambria" w:hAnsi="Cambria"/>
        </w:rPr>
        <w:t xml:space="preserve"> </w:t>
      </w:r>
      <w:r w:rsidRPr="00501FD7">
        <w:rPr>
          <w:rFonts w:ascii="Cambria" w:hAnsi="Cambria"/>
        </w:rPr>
        <w:t>y Posicionamiento/Distribución (</w:t>
      </w:r>
      <w:r w:rsidRPr="00501FD7">
        <w:rPr>
          <w:rFonts w:ascii="Cambria" w:hAnsi="Cambria"/>
          <w:i/>
          <w:iCs/>
        </w:rPr>
        <w:t>Place</w:t>
      </w:r>
      <w:r w:rsidRPr="00501FD7">
        <w:rPr>
          <w:rFonts w:ascii="Cambria" w:hAnsi="Cambria"/>
        </w:rPr>
        <w:t>).</w:t>
      </w:r>
    </w:p>
    <w:p w14:paraId="590B42E0" w14:textId="77777777" w:rsidR="005364C1" w:rsidRPr="00501FD7" w:rsidRDefault="005364C1" w:rsidP="005364C1">
      <w:pPr>
        <w:numPr>
          <w:ilvl w:val="0"/>
          <w:numId w:val="9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Requisito fundamental:</w:t>
      </w:r>
      <w:r w:rsidRPr="00501FD7">
        <w:rPr>
          <w:rFonts w:ascii="Cambria" w:hAnsi="Cambria"/>
        </w:rPr>
        <w:t xml:space="preserve"> Coherencia entre los componentes. A corto plazo solo se pueden variar precio y promoción.</w:t>
      </w:r>
    </w:p>
    <w:p w14:paraId="2011716E" w14:textId="77777777" w:rsidR="005364C1" w:rsidRPr="00501FD7" w:rsidRDefault="005364C1" w:rsidP="005364C1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501FD7">
        <w:rPr>
          <w:rFonts w:ascii="Cambria" w:hAnsi="Cambria"/>
          <w:b/>
          <w:bCs/>
          <w:color w:val="auto"/>
          <w:sz w:val="24"/>
          <w:szCs w:val="24"/>
        </w:rPr>
        <w:t>4.1. Política de Producto</w:t>
      </w:r>
    </w:p>
    <w:p w14:paraId="58394B92" w14:textId="77777777" w:rsidR="005364C1" w:rsidRPr="00501FD7" w:rsidRDefault="005364C1" w:rsidP="005364C1">
      <w:pPr>
        <w:numPr>
          <w:ilvl w:val="0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Elemento imprescindible del programa. Combinación de elementos tangibles e intangibles.</w:t>
      </w:r>
    </w:p>
    <w:p w14:paraId="29150C3D" w14:textId="77777777" w:rsidR="005364C1" w:rsidRPr="00501FD7" w:rsidRDefault="005364C1" w:rsidP="005364C1">
      <w:pPr>
        <w:numPr>
          <w:ilvl w:val="0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Atributos físicos (tangibles):</w:t>
      </w:r>
    </w:p>
    <w:p w14:paraId="27833EBA" w14:textId="77777777" w:rsidR="005364C1" w:rsidRPr="00501FD7" w:rsidRDefault="005364C1" w:rsidP="005364C1">
      <w:pPr>
        <w:numPr>
          <w:ilvl w:val="1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Intrínsecos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Composición y calidad. Deben ser acordes a normas técnicas y gustos del consumidor. Importancia de la responsabilidad civil por productos defectuosos.</w:t>
      </w:r>
    </w:p>
    <w:p w14:paraId="710A32BE" w14:textId="77777777" w:rsidR="005364C1" w:rsidRPr="00501FD7" w:rsidRDefault="005364C1" w:rsidP="005364C1">
      <w:pPr>
        <w:numPr>
          <w:ilvl w:val="1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Extrínsecos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Envase y embalaje (presentación), etiquetado. Funciones: Identificación, protección y adaptación (ej. conciencia ecológica).</w:t>
      </w:r>
    </w:p>
    <w:p w14:paraId="2F49A6AC" w14:textId="77777777" w:rsidR="005364C1" w:rsidRPr="00501FD7" w:rsidRDefault="005364C1" w:rsidP="005364C1">
      <w:pPr>
        <w:numPr>
          <w:ilvl w:val="0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Atributos intangibles:</w:t>
      </w:r>
    </w:p>
    <w:p w14:paraId="378BF3DE" w14:textId="77777777" w:rsidR="005364C1" w:rsidRPr="00501FD7" w:rsidRDefault="005364C1" w:rsidP="005364C1">
      <w:pPr>
        <w:numPr>
          <w:ilvl w:val="1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Marca:</w:t>
      </w:r>
      <w:r w:rsidRPr="00501FD7">
        <w:rPr>
          <w:rFonts w:ascii="Cambria" w:hAnsi="Cambria"/>
        </w:rPr>
        <w:t xml:space="preserve"> Identifica, individualiza y garantiza calidad. Decisiones estratégicas: Marca propia vs. blanca; Marca global vs. local.</w:t>
      </w:r>
    </w:p>
    <w:p w14:paraId="0F176E42" w14:textId="77777777" w:rsidR="005364C1" w:rsidRPr="00501FD7" w:rsidRDefault="005364C1" w:rsidP="005364C1">
      <w:pPr>
        <w:numPr>
          <w:ilvl w:val="1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País de origen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Efecto "</w:t>
      </w:r>
      <w:proofErr w:type="spellStart"/>
      <w:r w:rsidRPr="00501FD7">
        <w:rPr>
          <w:rFonts w:ascii="Cambria" w:hAnsi="Cambria"/>
        </w:rPr>
        <w:t>made</w:t>
      </w:r>
      <w:proofErr w:type="spellEnd"/>
      <w:r w:rsidRPr="00501FD7">
        <w:rPr>
          <w:rFonts w:ascii="Cambria" w:hAnsi="Cambria"/>
        </w:rPr>
        <w:t xml:space="preserve"> in" como valor añadido de imagen.</w:t>
      </w:r>
    </w:p>
    <w:p w14:paraId="10ED8EF4" w14:textId="2C358A8E" w:rsidR="005364C1" w:rsidRPr="00501FD7" w:rsidRDefault="005364C1" w:rsidP="005364C1">
      <w:pPr>
        <w:numPr>
          <w:ilvl w:val="1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 xml:space="preserve">Garantía y Servicio </w:t>
      </w:r>
      <w:r w:rsidR="004E432E" w:rsidRPr="00501FD7">
        <w:rPr>
          <w:rFonts w:ascii="Cambria" w:hAnsi="Cambria"/>
          <w:u w:val="single"/>
        </w:rPr>
        <w:t>postventa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Elemento de diferenciación y confianza (clave en servicios).</w:t>
      </w:r>
    </w:p>
    <w:p w14:paraId="0491EA3B" w14:textId="77777777" w:rsidR="005364C1" w:rsidRPr="00501FD7" w:rsidRDefault="005364C1" w:rsidP="005364C1">
      <w:pPr>
        <w:numPr>
          <w:ilvl w:val="0"/>
          <w:numId w:val="10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lastRenderedPageBreak/>
        <w:t>Estandarización vs. Adaptación:</w:t>
      </w:r>
      <w:r w:rsidRPr="00501FD7">
        <w:rPr>
          <w:rFonts w:ascii="Cambria" w:hAnsi="Cambria"/>
        </w:rPr>
        <w:t xml:space="preserve"> La decisión depende de la relevancia de costumbres/cultura local (productos industriales admiten más estandarización; consumo requieren más adaptación) y de la importancia de las economías de escala.</w:t>
      </w:r>
    </w:p>
    <w:p w14:paraId="6CD386C3" w14:textId="77777777" w:rsidR="005364C1" w:rsidRPr="00501FD7" w:rsidRDefault="005364C1" w:rsidP="005364C1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501FD7">
        <w:rPr>
          <w:rFonts w:ascii="Cambria" w:hAnsi="Cambria"/>
          <w:b/>
          <w:bCs/>
          <w:color w:val="auto"/>
          <w:sz w:val="24"/>
          <w:szCs w:val="24"/>
        </w:rPr>
        <w:t>4.2. Política de Precio</w:t>
      </w:r>
    </w:p>
    <w:p w14:paraId="09E5E2ED" w14:textId="77777777" w:rsidR="005364C1" w:rsidRPr="00501FD7" w:rsidRDefault="005364C1" w:rsidP="005364C1">
      <w:pPr>
        <w:numPr>
          <w:ilvl w:val="0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Elemento clave por su relación estrecha con la demanda. Instrumento a corto plazo, competitivo y único generador de ingresos.</w:t>
      </w:r>
    </w:p>
    <w:p w14:paraId="533F49C8" w14:textId="77777777" w:rsidR="005364C1" w:rsidRPr="00501FD7" w:rsidRDefault="005364C1" w:rsidP="005364C1">
      <w:pPr>
        <w:numPr>
          <w:ilvl w:val="0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Pasos para la fijación de precios:</w:t>
      </w:r>
    </w:p>
    <w:p w14:paraId="3DFE5386" w14:textId="77777777" w:rsidR="005364C1" w:rsidRPr="00501FD7" w:rsidRDefault="005364C1" w:rsidP="005364C1">
      <w:pPr>
        <w:numPr>
          <w:ilvl w:val="1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Cálculo de costes (Precio Mínimo).</w:t>
      </w:r>
    </w:p>
    <w:p w14:paraId="60D71BA9" w14:textId="77777777" w:rsidR="005364C1" w:rsidRPr="00501FD7" w:rsidRDefault="005364C1" w:rsidP="005364C1">
      <w:pPr>
        <w:numPr>
          <w:ilvl w:val="1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Valoración de precios de la competencia (Precio Máximo), salvo que exista alta diferenciación.</w:t>
      </w:r>
    </w:p>
    <w:p w14:paraId="374D1662" w14:textId="77777777" w:rsidR="005364C1" w:rsidRPr="00501FD7" w:rsidRDefault="005364C1" w:rsidP="005364C1">
      <w:pPr>
        <w:numPr>
          <w:ilvl w:val="1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Estimación de la demanda (Precio Óptimo).</w:t>
      </w:r>
    </w:p>
    <w:p w14:paraId="23608E56" w14:textId="77777777" w:rsidR="005364C1" w:rsidRPr="00501FD7" w:rsidRDefault="005364C1" w:rsidP="005364C1">
      <w:pPr>
        <w:numPr>
          <w:ilvl w:val="0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Factores adicionales internacionales:</w:t>
      </w:r>
      <w:r w:rsidRPr="00501FD7">
        <w:rPr>
          <w:rFonts w:ascii="Cambria" w:hAnsi="Cambria"/>
        </w:rPr>
        <w:t xml:space="preserve"> Tipo de cambio, regulaciones (precios máximos, antidumping, IVA), precios de transferencia.</w:t>
      </w:r>
    </w:p>
    <w:p w14:paraId="4A413FD3" w14:textId="77777777" w:rsidR="005364C1" w:rsidRPr="00501FD7" w:rsidRDefault="005364C1" w:rsidP="005364C1">
      <w:pPr>
        <w:numPr>
          <w:ilvl w:val="0"/>
          <w:numId w:val="11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Estrategia:</w:t>
      </w:r>
      <w:r w:rsidRPr="00501FD7">
        <w:rPr>
          <w:rFonts w:ascii="Cambria" w:hAnsi="Cambria"/>
        </w:rPr>
        <w:t xml:space="preserve"> Tendencia actual a la </w:t>
      </w:r>
      <w:r w:rsidRPr="00501FD7">
        <w:rPr>
          <w:rFonts w:ascii="Cambria" w:hAnsi="Cambria"/>
          <w:b/>
          <w:bCs/>
        </w:rPr>
        <w:t>estandarización</w:t>
      </w:r>
      <w:r w:rsidRPr="00501FD7">
        <w:rPr>
          <w:rFonts w:ascii="Cambria" w:hAnsi="Cambria"/>
        </w:rPr>
        <w:t xml:space="preserve"> para mayor coherencia e imagen global. Posibilidad de precios de penetración iniciales para ganar cuota.</w:t>
      </w:r>
    </w:p>
    <w:p w14:paraId="443A5F8A" w14:textId="77777777" w:rsidR="005364C1" w:rsidRPr="00501FD7" w:rsidRDefault="005364C1" w:rsidP="005364C1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501FD7">
        <w:rPr>
          <w:rFonts w:ascii="Cambria" w:hAnsi="Cambria"/>
          <w:b/>
          <w:bCs/>
          <w:color w:val="auto"/>
          <w:sz w:val="24"/>
          <w:szCs w:val="24"/>
        </w:rPr>
        <w:t>4.3. Política de Comunicación/Promoción</w:t>
      </w:r>
    </w:p>
    <w:p w14:paraId="0E6FFB77" w14:textId="77777777" w:rsidR="005364C1" w:rsidRPr="00501FD7" w:rsidRDefault="005364C1" w:rsidP="005364C1">
      <w:pPr>
        <w:numPr>
          <w:ilvl w:val="0"/>
          <w:numId w:val="12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Objetivos:</w:t>
      </w:r>
      <w:r w:rsidRPr="00501FD7">
        <w:rPr>
          <w:rFonts w:ascii="Cambria" w:hAnsi="Cambria"/>
        </w:rPr>
        <w:t xml:space="preserve"> Informar, fidelizar y persuadir al cliente.</w:t>
      </w:r>
    </w:p>
    <w:p w14:paraId="790EBEE5" w14:textId="77777777" w:rsidR="005364C1" w:rsidRPr="00501FD7" w:rsidRDefault="005364C1" w:rsidP="005364C1">
      <w:pPr>
        <w:numPr>
          <w:ilvl w:val="0"/>
          <w:numId w:val="12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Instrumentos:</w:t>
      </w:r>
    </w:p>
    <w:p w14:paraId="45BE6003" w14:textId="77777777" w:rsidR="005364C1" w:rsidRPr="00501FD7" w:rsidRDefault="005364C1" w:rsidP="005364C1">
      <w:pPr>
        <w:numPr>
          <w:ilvl w:val="1"/>
          <w:numId w:val="12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Publicidad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Medios masivos o selectivos. Admite mayor estandarización (mensaje global con adaptación local).</w:t>
      </w:r>
    </w:p>
    <w:p w14:paraId="337620A4" w14:textId="77777777" w:rsidR="005364C1" w:rsidRPr="00501FD7" w:rsidRDefault="005364C1" w:rsidP="005364C1">
      <w:pPr>
        <w:numPr>
          <w:ilvl w:val="1"/>
          <w:numId w:val="12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Promoción de ventas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Incentivos de corta duración (muestras, concursos, </w:t>
      </w:r>
      <w:proofErr w:type="spellStart"/>
      <w:r w:rsidRPr="00501FD7">
        <w:rPr>
          <w:rFonts w:ascii="Cambria" w:hAnsi="Cambria"/>
        </w:rPr>
        <w:t>mailing</w:t>
      </w:r>
      <w:proofErr w:type="spellEnd"/>
      <w:r w:rsidRPr="00501FD7">
        <w:rPr>
          <w:rFonts w:ascii="Cambria" w:hAnsi="Cambria"/>
        </w:rPr>
        <w:t>). Difícil estandarización.</w:t>
      </w:r>
    </w:p>
    <w:p w14:paraId="55CF0D57" w14:textId="77777777" w:rsidR="005364C1" w:rsidRPr="00501FD7" w:rsidRDefault="005364C1" w:rsidP="005364C1">
      <w:pPr>
        <w:numPr>
          <w:ilvl w:val="1"/>
          <w:numId w:val="12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Relaciones Públicas</w:t>
      </w:r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Reuniones de directivos para abrir camino.</w:t>
      </w:r>
    </w:p>
    <w:p w14:paraId="033FB3AD" w14:textId="77777777" w:rsidR="005364C1" w:rsidRPr="00501FD7" w:rsidRDefault="005364C1" w:rsidP="005364C1">
      <w:pPr>
        <w:numPr>
          <w:ilvl w:val="1"/>
          <w:numId w:val="12"/>
        </w:numPr>
        <w:jc w:val="both"/>
        <w:rPr>
          <w:rFonts w:ascii="Cambria" w:hAnsi="Cambria"/>
          <w:u w:val="single"/>
        </w:rPr>
      </w:pPr>
      <w:proofErr w:type="spellStart"/>
      <w:r w:rsidRPr="00501FD7">
        <w:rPr>
          <w:rFonts w:ascii="Cambria" w:hAnsi="Cambria"/>
          <w:u w:val="single"/>
        </w:rPr>
        <w:t>Esponsorización</w:t>
      </w:r>
      <w:proofErr w:type="spellEnd"/>
      <w:r w:rsidRPr="00501FD7">
        <w:rPr>
          <w:rFonts w:ascii="Cambria" w:hAnsi="Cambria"/>
          <w:i/>
          <w:iCs/>
        </w:rPr>
        <w:t>:</w:t>
      </w:r>
      <w:r w:rsidRPr="00501FD7">
        <w:rPr>
          <w:rFonts w:ascii="Cambria" w:hAnsi="Cambria"/>
        </w:rPr>
        <w:t xml:space="preserve"> Patrocinio de eventos acordes a la imagen del producto.</w:t>
      </w:r>
    </w:p>
    <w:p w14:paraId="3DDCAAFF" w14:textId="77777777" w:rsidR="005364C1" w:rsidRPr="00501FD7" w:rsidRDefault="005364C1" w:rsidP="005364C1">
      <w:pPr>
        <w:numPr>
          <w:ilvl w:val="1"/>
          <w:numId w:val="12"/>
        </w:numPr>
        <w:jc w:val="both"/>
        <w:rPr>
          <w:rFonts w:ascii="Cambria" w:hAnsi="Cambria"/>
        </w:rPr>
      </w:pPr>
      <w:r w:rsidRPr="00501FD7">
        <w:rPr>
          <w:rFonts w:ascii="Cambria" w:hAnsi="Cambria"/>
          <w:u w:val="single"/>
        </w:rPr>
        <w:t>Venta personal:</w:t>
      </w:r>
      <w:r w:rsidRPr="00501FD7">
        <w:rPr>
          <w:rFonts w:ascii="Cambria" w:hAnsi="Cambria"/>
        </w:rPr>
        <w:t xml:space="preserve"> Ferias y misiones comerciales (apoyo del ICEX).</w:t>
      </w:r>
    </w:p>
    <w:p w14:paraId="5598C67D" w14:textId="77777777" w:rsidR="005364C1" w:rsidRPr="00501FD7" w:rsidRDefault="005364C1" w:rsidP="005364C1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501FD7">
        <w:rPr>
          <w:rFonts w:ascii="Cambria" w:hAnsi="Cambria"/>
          <w:b/>
          <w:bCs/>
          <w:color w:val="auto"/>
          <w:sz w:val="24"/>
          <w:szCs w:val="24"/>
        </w:rPr>
        <w:t>4.4. Política de Distribución</w:t>
      </w:r>
    </w:p>
    <w:p w14:paraId="61038FB0" w14:textId="77777777" w:rsidR="005364C1" w:rsidRPr="00501FD7" w:rsidRDefault="005364C1" w:rsidP="005364C1">
      <w:pPr>
        <w:numPr>
          <w:ilvl w:val="0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Objetivo:</w:t>
      </w:r>
      <w:r w:rsidRPr="00501FD7">
        <w:rPr>
          <w:rFonts w:ascii="Cambria" w:hAnsi="Cambria"/>
        </w:rPr>
        <w:t xml:space="preserve"> Poner el producto a disposición del consumidor en lugar, cantidad y momento adecuados.</w:t>
      </w:r>
    </w:p>
    <w:p w14:paraId="60AC2A74" w14:textId="77777777" w:rsidR="005364C1" w:rsidRPr="00501FD7" w:rsidRDefault="005364C1" w:rsidP="005364C1">
      <w:pPr>
        <w:numPr>
          <w:ilvl w:val="0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Control:</w:t>
      </w:r>
      <w:r w:rsidRPr="00501FD7">
        <w:rPr>
          <w:rFonts w:ascii="Cambria" w:hAnsi="Cambria"/>
        </w:rPr>
        <w:t xml:space="preserve"> Depende de la vía de entrada (Agentes/Licencias = mínimo control; Venta directa/Filial = mayor control).</w:t>
      </w:r>
    </w:p>
    <w:p w14:paraId="47E583F9" w14:textId="77777777" w:rsidR="005364C1" w:rsidRPr="00501FD7" w:rsidRDefault="005364C1" w:rsidP="005364C1">
      <w:pPr>
        <w:numPr>
          <w:ilvl w:val="0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Factores de selección del canal:</w:t>
      </w:r>
    </w:p>
    <w:p w14:paraId="4B04CD82" w14:textId="77777777" w:rsidR="005364C1" w:rsidRPr="00501FD7" w:rsidRDefault="005364C1" w:rsidP="005364C1">
      <w:pPr>
        <w:numPr>
          <w:ilvl w:val="1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lastRenderedPageBreak/>
        <w:t>Características del canal: Longitud (distribución larga, corta o directa), márgenes, servicios prestados, cobertura y normativa.</w:t>
      </w:r>
    </w:p>
    <w:p w14:paraId="124CDD34" w14:textId="77777777" w:rsidR="005364C1" w:rsidRPr="00501FD7" w:rsidRDefault="005364C1" w:rsidP="005364C1">
      <w:pPr>
        <w:numPr>
          <w:ilvl w:val="1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Características del producto (ej. industriales vs. consumo).</w:t>
      </w:r>
    </w:p>
    <w:p w14:paraId="29CED9BA" w14:textId="77777777" w:rsidR="005364C1" w:rsidRPr="00501FD7" w:rsidRDefault="005364C1" w:rsidP="005364C1">
      <w:pPr>
        <w:numPr>
          <w:ilvl w:val="1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Características del mercado (hábitos de compra, dispersión).</w:t>
      </w:r>
    </w:p>
    <w:p w14:paraId="7F837322" w14:textId="77777777" w:rsidR="005364C1" w:rsidRPr="00501FD7" w:rsidRDefault="005364C1" w:rsidP="005364C1">
      <w:pPr>
        <w:numPr>
          <w:ilvl w:val="1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</w:rPr>
        <w:t>Competencia (costumbre del cliente).</w:t>
      </w:r>
    </w:p>
    <w:p w14:paraId="70E4D2E3" w14:textId="77777777" w:rsidR="005364C1" w:rsidRPr="00501FD7" w:rsidRDefault="005364C1" w:rsidP="005364C1">
      <w:pPr>
        <w:numPr>
          <w:ilvl w:val="0"/>
          <w:numId w:val="13"/>
        </w:numPr>
        <w:jc w:val="both"/>
        <w:rPr>
          <w:rFonts w:ascii="Cambria" w:hAnsi="Cambria"/>
        </w:rPr>
      </w:pPr>
      <w:r w:rsidRPr="00501FD7">
        <w:rPr>
          <w:rFonts w:ascii="Cambria" w:hAnsi="Cambria"/>
          <w:b/>
          <w:bCs/>
        </w:rPr>
        <w:t>Tendencias:</w:t>
      </w:r>
      <w:r w:rsidRPr="00501FD7">
        <w:rPr>
          <w:rFonts w:ascii="Cambria" w:hAnsi="Cambria"/>
        </w:rPr>
        <w:t xml:space="preserve"> Aumento de poder de las grandes empresas de distribución, lo que exige gestión de </w:t>
      </w:r>
      <w:proofErr w:type="spellStart"/>
      <w:r w:rsidRPr="00501FD7">
        <w:rPr>
          <w:rFonts w:ascii="Cambria" w:hAnsi="Cambria"/>
        </w:rPr>
        <w:t>Trade</w:t>
      </w:r>
      <w:proofErr w:type="spellEnd"/>
      <w:r w:rsidRPr="00501FD7">
        <w:rPr>
          <w:rFonts w:ascii="Cambria" w:hAnsi="Cambria"/>
        </w:rPr>
        <w:t xml:space="preserve"> Marketing. En España destaca la ANGED (Asociación Nacional de Grandes Empresas de Distribución).</w:t>
      </w:r>
    </w:p>
    <w:p w14:paraId="0CC35A1F" w14:textId="77777777" w:rsidR="00A65383" w:rsidRPr="00501FD7" w:rsidRDefault="00A65383" w:rsidP="005364C1">
      <w:pPr>
        <w:jc w:val="both"/>
        <w:rPr>
          <w:rFonts w:ascii="Cambria" w:hAnsi="Cambria"/>
        </w:rPr>
      </w:pPr>
    </w:p>
    <w:sectPr w:rsidR="00A65383" w:rsidRPr="00501FD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12795" w14:textId="77777777" w:rsidR="005364C1" w:rsidRDefault="005364C1" w:rsidP="005364C1">
      <w:pPr>
        <w:spacing w:after="0" w:line="240" w:lineRule="auto"/>
      </w:pPr>
      <w:r>
        <w:separator/>
      </w:r>
    </w:p>
  </w:endnote>
  <w:endnote w:type="continuationSeparator" w:id="0">
    <w:p w14:paraId="094D96DE" w14:textId="77777777" w:rsidR="005364C1" w:rsidRDefault="005364C1" w:rsidP="005364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3A479" w14:textId="77777777" w:rsidR="005364C1" w:rsidRDefault="005364C1" w:rsidP="005364C1">
      <w:pPr>
        <w:spacing w:after="0" w:line="240" w:lineRule="auto"/>
      </w:pPr>
      <w:r>
        <w:separator/>
      </w:r>
    </w:p>
  </w:footnote>
  <w:footnote w:type="continuationSeparator" w:id="0">
    <w:p w14:paraId="324B1D7B" w14:textId="77777777" w:rsidR="005364C1" w:rsidRDefault="005364C1" w:rsidP="005364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7E26" w14:textId="1BF48095" w:rsidR="005364C1" w:rsidRPr="006A5FCF" w:rsidRDefault="005364C1" w:rsidP="005364C1">
    <w:pPr>
      <w:pStyle w:val="Encabezado"/>
      <w:jc w:val="both"/>
      <w:rPr>
        <w:rFonts w:ascii="Palatino Linotype" w:hAnsi="Palatino Linotype"/>
        <w:i/>
        <w:iCs/>
      </w:rPr>
    </w:pPr>
    <w:r w:rsidRPr="006A5FCF">
      <w:rPr>
        <w:rFonts w:ascii="Palatino Linotype" w:hAnsi="Palatino Linotype"/>
        <w:b/>
        <w:bCs/>
        <w:i/>
        <w:iCs/>
      </w:rPr>
      <w:t>TEMA 5 -</w:t>
    </w:r>
    <w:r w:rsidRPr="006A5FCF">
      <w:rPr>
        <w:rFonts w:ascii="Palatino Linotype" w:hAnsi="Palatino Linotype"/>
        <w:i/>
        <w:iCs/>
      </w:rPr>
      <w:t xml:space="preserve"> El marketing internacional. Concepto y funciones. La investigación de mercados y las fuentes de información. El marketing </w:t>
    </w:r>
    <w:proofErr w:type="spellStart"/>
    <w:r w:rsidRPr="006A5FCF">
      <w:rPr>
        <w:rFonts w:ascii="Palatino Linotype" w:hAnsi="Palatino Linotype"/>
        <w:i/>
        <w:iCs/>
      </w:rPr>
      <w:t>mix</w:t>
    </w:r>
    <w:proofErr w:type="spellEnd"/>
    <w:r w:rsidRPr="006A5FCF">
      <w:rPr>
        <w:rFonts w:ascii="Palatino Linotype" w:hAnsi="Palatino Linotype"/>
        <w:i/>
        <w:iCs/>
      </w:rPr>
      <w:t>: concepto y componentes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F2B6F"/>
    <w:multiLevelType w:val="multilevel"/>
    <w:tmpl w:val="E508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96A96"/>
    <w:multiLevelType w:val="multilevel"/>
    <w:tmpl w:val="85DA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16DE0"/>
    <w:multiLevelType w:val="multilevel"/>
    <w:tmpl w:val="0D40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75156"/>
    <w:multiLevelType w:val="multilevel"/>
    <w:tmpl w:val="50483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C0790"/>
    <w:multiLevelType w:val="multilevel"/>
    <w:tmpl w:val="79CCF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96F84"/>
    <w:multiLevelType w:val="multilevel"/>
    <w:tmpl w:val="C622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C54B1"/>
    <w:multiLevelType w:val="multilevel"/>
    <w:tmpl w:val="A466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E3436E"/>
    <w:multiLevelType w:val="multilevel"/>
    <w:tmpl w:val="16F6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75CD6"/>
    <w:multiLevelType w:val="multilevel"/>
    <w:tmpl w:val="A936F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856A6B"/>
    <w:multiLevelType w:val="multilevel"/>
    <w:tmpl w:val="A11C5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72372C"/>
    <w:multiLevelType w:val="multilevel"/>
    <w:tmpl w:val="92AC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281169"/>
    <w:multiLevelType w:val="multilevel"/>
    <w:tmpl w:val="32AE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1129A"/>
    <w:multiLevelType w:val="multilevel"/>
    <w:tmpl w:val="99BE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682367">
    <w:abstractNumId w:val="12"/>
  </w:num>
  <w:num w:numId="2" w16cid:durableId="1578243477">
    <w:abstractNumId w:val="4"/>
  </w:num>
  <w:num w:numId="3" w16cid:durableId="1934588131">
    <w:abstractNumId w:val="2"/>
  </w:num>
  <w:num w:numId="4" w16cid:durableId="318120008">
    <w:abstractNumId w:val="8"/>
  </w:num>
  <w:num w:numId="5" w16cid:durableId="1705137454">
    <w:abstractNumId w:val="3"/>
  </w:num>
  <w:num w:numId="6" w16cid:durableId="1381435373">
    <w:abstractNumId w:val="0"/>
  </w:num>
  <w:num w:numId="7" w16cid:durableId="836381998">
    <w:abstractNumId w:val="6"/>
  </w:num>
  <w:num w:numId="8" w16cid:durableId="1732537627">
    <w:abstractNumId w:val="9"/>
  </w:num>
  <w:num w:numId="9" w16cid:durableId="1269123245">
    <w:abstractNumId w:val="10"/>
  </w:num>
  <w:num w:numId="10" w16cid:durableId="2140418277">
    <w:abstractNumId w:val="7"/>
  </w:num>
  <w:num w:numId="11" w16cid:durableId="184176186">
    <w:abstractNumId w:val="1"/>
  </w:num>
  <w:num w:numId="12" w16cid:durableId="808129943">
    <w:abstractNumId w:val="5"/>
  </w:num>
  <w:num w:numId="13" w16cid:durableId="11438861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4C1"/>
    <w:rsid w:val="001175DB"/>
    <w:rsid w:val="00253F2A"/>
    <w:rsid w:val="0029361B"/>
    <w:rsid w:val="004E432E"/>
    <w:rsid w:val="00501FD7"/>
    <w:rsid w:val="005364C1"/>
    <w:rsid w:val="005803BC"/>
    <w:rsid w:val="00622004"/>
    <w:rsid w:val="006A5FCF"/>
    <w:rsid w:val="00A65383"/>
    <w:rsid w:val="00A8675C"/>
    <w:rsid w:val="00BF7E15"/>
    <w:rsid w:val="00C12CFD"/>
    <w:rsid w:val="00DA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B0938"/>
  <w15:chartTrackingRefBased/>
  <w15:docId w15:val="{42167234-DC91-413A-ACDC-5CF6CE81A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6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36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64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6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64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6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6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6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6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364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364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64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64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64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64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64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64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64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6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6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6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6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6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64C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364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6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64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64C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364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364C1"/>
  </w:style>
  <w:style w:type="paragraph" w:styleId="Piedepgina">
    <w:name w:val="footer"/>
    <w:basedOn w:val="Normal"/>
    <w:link w:val="PiedepginaCar"/>
    <w:uiPriority w:val="99"/>
    <w:unhideWhenUsed/>
    <w:rsid w:val="005364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364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1518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6</cp:revision>
  <dcterms:created xsi:type="dcterms:W3CDTF">2025-11-21T09:47:00Z</dcterms:created>
  <dcterms:modified xsi:type="dcterms:W3CDTF">2026-01-14T14:08:00Z</dcterms:modified>
</cp:coreProperties>
</file>