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12CD4" w14:textId="74137C83" w:rsidR="005F78D3" w:rsidRPr="00323D34" w:rsidRDefault="005F78D3" w:rsidP="00A6654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23D34">
        <w:rPr>
          <w:rFonts w:ascii="Cambria" w:hAnsi="Cambria"/>
          <w:b/>
          <w:bCs/>
          <w:color w:val="auto"/>
          <w:sz w:val="28"/>
          <w:szCs w:val="28"/>
        </w:rPr>
        <w:t>1. Introducción y Contexto</w:t>
      </w:r>
    </w:p>
    <w:p w14:paraId="3F017458" w14:textId="77777777" w:rsidR="005F78D3" w:rsidRPr="00323D34" w:rsidRDefault="005F78D3" w:rsidP="00A6654E">
      <w:pPr>
        <w:numPr>
          <w:ilvl w:val="0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Evolución económica de España</w:t>
      </w:r>
      <w:r w:rsidRPr="00323D34">
        <w:rPr>
          <w:rFonts w:ascii="Cambria" w:hAnsi="Cambria"/>
        </w:rPr>
        <w:t>: Paso de la autarquía a una gran apertura. Hitos clave: Plan de Estabilización (1959), ingreso en la CEE (1986) y en la OMC (1995).</w:t>
      </w:r>
    </w:p>
    <w:p w14:paraId="35D917B4" w14:textId="77777777" w:rsidR="005F78D3" w:rsidRPr="00323D34" w:rsidRDefault="005F78D3" w:rsidP="00A6654E">
      <w:pPr>
        <w:numPr>
          <w:ilvl w:val="0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Escenario actual</w:t>
      </w:r>
      <w:r w:rsidRPr="00323D34">
        <w:rPr>
          <w:rFonts w:ascii="Cambria" w:hAnsi="Cambria"/>
        </w:rPr>
        <w:t>:</w:t>
      </w:r>
    </w:p>
    <w:p w14:paraId="646F3605" w14:textId="77777777" w:rsidR="005F78D3" w:rsidRPr="00323D34" w:rsidRDefault="005F78D3" w:rsidP="00A6654E">
      <w:pPr>
        <w:numPr>
          <w:ilvl w:val="1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Necesidad de internacionalización para crecer y competir.</w:t>
      </w:r>
    </w:p>
    <w:p w14:paraId="197851A9" w14:textId="77777777" w:rsidR="005F78D3" w:rsidRPr="00323D34" w:rsidRDefault="005F78D3" w:rsidP="00A6654E">
      <w:pPr>
        <w:numPr>
          <w:ilvl w:val="1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Complejidad y riesgos del comercio exterior (impagos, inestabilidad política, marcos jurídicos distintos).</w:t>
      </w:r>
    </w:p>
    <w:p w14:paraId="37E16CD4" w14:textId="77777777" w:rsidR="005F78D3" w:rsidRPr="00323D34" w:rsidRDefault="005F78D3" w:rsidP="00A6654E">
      <w:pPr>
        <w:numPr>
          <w:ilvl w:val="0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Apoyo del Sector Público</w:t>
      </w:r>
      <w:r w:rsidRPr="00323D34">
        <w:rPr>
          <w:rFonts w:ascii="Cambria" w:hAnsi="Cambria"/>
        </w:rPr>
        <w:t>:</w:t>
      </w:r>
    </w:p>
    <w:p w14:paraId="5E18CFD7" w14:textId="77777777" w:rsidR="005F78D3" w:rsidRPr="00323D34" w:rsidRDefault="005F78D3" w:rsidP="00A6654E">
      <w:pPr>
        <w:numPr>
          <w:ilvl w:val="1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Instrumentos comerciales (ICEX).</w:t>
      </w:r>
    </w:p>
    <w:p w14:paraId="78EA483D" w14:textId="77777777" w:rsidR="005F78D3" w:rsidRPr="00323D34" w:rsidRDefault="005F78D3" w:rsidP="00A6654E">
      <w:pPr>
        <w:numPr>
          <w:ilvl w:val="1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Instrumentos fiscales.</w:t>
      </w:r>
    </w:p>
    <w:p w14:paraId="4EE243E5" w14:textId="77777777" w:rsidR="005F78D3" w:rsidRPr="00323D34" w:rsidRDefault="005F78D3" w:rsidP="00A6654E">
      <w:pPr>
        <w:numPr>
          <w:ilvl w:val="1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Instrumentos financieros</w:t>
      </w:r>
      <w:r w:rsidRPr="00323D34">
        <w:rPr>
          <w:rFonts w:ascii="Cambria" w:hAnsi="Cambria"/>
        </w:rPr>
        <w:t>:</w:t>
      </w:r>
    </w:p>
    <w:p w14:paraId="59538C38" w14:textId="77777777" w:rsidR="005F78D3" w:rsidRPr="00323D34" w:rsidRDefault="005F78D3" w:rsidP="00A6654E">
      <w:pPr>
        <w:numPr>
          <w:ilvl w:val="2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Financiación comercial</w:t>
      </w:r>
      <w:r w:rsidRPr="00323D34">
        <w:rPr>
          <w:rFonts w:ascii="Cambria" w:hAnsi="Cambria"/>
        </w:rPr>
        <w:t>: Seguro de Crédito (CESCE) y CARI.</w:t>
      </w:r>
    </w:p>
    <w:p w14:paraId="75372CFD" w14:textId="77777777" w:rsidR="005F78D3" w:rsidRPr="00323D34" w:rsidRDefault="005F78D3" w:rsidP="00A6654E">
      <w:pPr>
        <w:numPr>
          <w:ilvl w:val="2"/>
          <w:numId w:val="1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Financiación concesional:</w:t>
      </w:r>
      <w:r w:rsidRPr="00323D34">
        <w:rPr>
          <w:rFonts w:ascii="Cambria" w:hAnsi="Cambria"/>
        </w:rPr>
        <w:t xml:space="preserve"> FIEM.</w:t>
      </w:r>
    </w:p>
    <w:p w14:paraId="60C5CE49" w14:textId="77777777" w:rsidR="005F78D3" w:rsidRPr="00323D34" w:rsidRDefault="005F78D3" w:rsidP="00A6654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23D34">
        <w:rPr>
          <w:rFonts w:ascii="Cambria" w:hAnsi="Cambria"/>
          <w:b/>
          <w:bCs/>
          <w:color w:val="auto"/>
          <w:sz w:val="28"/>
          <w:szCs w:val="28"/>
        </w:rPr>
        <w:t>2. El Seguro de Crédito a la Exportación</w:t>
      </w:r>
    </w:p>
    <w:p w14:paraId="1F87A169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2.1. Concepto y Función</w:t>
      </w:r>
    </w:p>
    <w:p w14:paraId="3147F949" w14:textId="77777777" w:rsidR="005F78D3" w:rsidRPr="00323D34" w:rsidRDefault="005F78D3" w:rsidP="00A6654E">
      <w:pPr>
        <w:numPr>
          <w:ilvl w:val="0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Contexto</w:t>
      </w:r>
      <w:r w:rsidRPr="00323D34">
        <w:rPr>
          <w:rFonts w:ascii="Cambria" w:hAnsi="Cambria"/>
        </w:rPr>
        <w:t>: La venta a crédito es habitual, convirtiendo a la empresa en financiadora y asumiendo el riesgo de insolvencia.</w:t>
      </w:r>
    </w:p>
    <w:p w14:paraId="31332B94" w14:textId="77777777" w:rsidR="005F78D3" w:rsidRPr="00323D34" w:rsidRDefault="005F78D3" w:rsidP="00A6654E">
      <w:pPr>
        <w:numPr>
          <w:ilvl w:val="0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Definición</w:t>
      </w:r>
      <w:r w:rsidRPr="00323D34">
        <w:rPr>
          <w:rFonts w:ascii="Cambria" w:hAnsi="Cambria"/>
        </w:rPr>
        <w:t>: Herramienta que permite a la empresa garantizarse el cobro de bienes/servicios vendidos a crédito, cubriendo los riesgos comerciales y políticos.</w:t>
      </w:r>
    </w:p>
    <w:p w14:paraId="131BA03D" w14:textId="77777777" w:rsidR="005F78D3" w:rsidRPr="00323D34" w:rsidRDefault="005F78D3" w:rsidP="00A6654E">
      <w:pPr>
        <w:numPr>
          <w:ilvl w:val="0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Características comunes</w:t>
      </w:r>
      <w:r w:rsidRPr="00323D34">
        <w:rPr>
          <w:rFonts w:ascii="Cambria" w:hAnsi="Cambria"/>
        </w:rPr>
        <w:t>:</w:t>
      </w:r>
    </w:p>
    <w:p w14:paraId="25DF04FA" w14:textId="77777777" w:rsidR="005F78D3" w:rsidRPr="00323D34" w:rsidRDefault="005F78D3" w:rsidP="00A6654E">
      <w:pPr>
        <w:numPr>
          <w:ilvl w:val="1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Objetivo</w:t>
      </w:r>
      <w:r w:rsidRPr="00323D34">
        <w:rPr>
          <w:rFonts w:ascii="Cambria" w:hAnsi="Cambria"/>
        </w:rPr>
        <w:t>: Indemnizar al exportador por incumplimiento de pago.</w:t>
      </w:r>
    </w:p>
    <w:p w14:paraId="77CEA2DD" w14:textId="77777777" w:rsidR="005F78D3" w:rsidRPr="00323D34" w:rsidRDefault="005F78D3" w:rsidP="00A6654E">
      <w:pPr>
        <w:numPr>
          <w:ilvl w:val="1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Prima</w:t>
      </w:r>
      <w:r w:rsidRPr="00323D34">
        <w:rPr>
          <w:rFonts w:ascii="Cambria" w:hAnsi="Cambria"/>
        </w:rPr>
        <w:t>: Determinada por concentración de riesgos, solvencia del importador, riesgo país, sector y plazo.</w:t>
      </w:r>
    </w:p>
    <w:p w14:paraId="4D4AF364" w14:textId="77777777" w:rsidR="005F78D3" w:rsidRPr="00323D34" w:rsidRDefault="005F78D3" w:rsidP="00A6654E">
      <w:pPr>
        <w:numPr>
          <w:ilvl w:val="1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Análisis de riesgo</w:t>
      </w:r>
      <w:r w:rsidRPr="00323D34">
        <w:rPr>
          <w:rFonts w:ascii="Cambria" w:hAnsi="Cambria"/>
        </w:rPr>
        <w:t>: La aseguradora fija un "techo de riesgo" por cliente.</w:t>
      </w:r>
    </w:p>
    <w:p w14:paraId="4F682DF3" w14:textId="77777777" w:rsidR="005F78D3" w:rsidRPr="00323D34" w:rsidRDefault="005F78D3" w:rsidP="00A6654E">
      <w:pPr>
        <w:numPr>
          <w:ilvl w:val="1"/>
          <w:numId w:val="2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Servicios añadidos</w:t>
      </w:r>
      <w:r w:rsidRPr="00323D34">
        <w:rPr>
          <w:rFonts w:ascii="Cambria" w:hAnsi="Cambria"/>
        </w:rPr>
        <w:t>: Información sobre solvencia de clientes y gestión de recobro (capacidad de presión sobre el deudor).</w:t>
      </w:r>
    </w:p>
    <w:p w14:paraId="6AB7AF52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lastRenderedPageBreak/>
        <w:t>2.2. Clasificación de Riesgos</w:t>
      </w:r>
    </w:p>
    <w:p w14:paraId="23CDDA25" w14:textId="77777777" w:rsidR="005F78D3" w:rsidRPr="00323D34" w:rsidRDefault="005F78D3" w:rsidP="00A6654E">
      <w:pPr>
        <w:numPr>
          <w:ilvl w:val="0"/>
          <w:numId w:val="3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Riesgo de Resolución de Contrato</w:t>
      </w:r>
      <w:r w:rsidRPr="00323D34">
        <w:rPr>
          <w:rFonts w:ascii="Cambria" w:hAnsi="Cambria"/>
        </w:rPr>
        <w:t>: Cancelación unilateral del pedido por el importador antes del cobro (durante fabricación o transporte).</w:t>
      </w:r>
    </w:p>
    <w:p w14:paraId="2B3692DC" w14:textId="77777777" w:rsidR="005F78D3" w:rsidRPr="00323D34" w:rsidRDefault="005F78D3" w:rsidP="00A6654E">
      <w:pPr>
        <w:numPr>
          <w:ilvl w:val="0"/>
          <w:numId w:val="3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Riesgo de Crédito</w:t>
      </w:r>
      <w:r w:rsidRPr="00323D34">
        <w:rPr>
          <w:rFonts w:ascii="Cambria" w:hAnsi="Cambria"/>
        </w:rPr>
        <w:t>: Riesgo de impago tras la entrega. Se agrupa en:</w:t>
      </w:r>
    </w:p>
    <w:p w14:paraId="67ACDE75" w14:textId="77777777" w:rsidR="005F78D3" w:rsidRPr="00323D34" w:rsidRDefault="005F78D3" w:rsidP="00A6654E">
      <w:pPr>
        <w:numPr>
          <w:ilvl w:val="1"/>
          <w:numId w:val="3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Riesgo Comercial:</w:t>
      </w:r>
      <w:r w:rsidRPr="00323D34">
        <w:rPr>
          <w:rFonts w:ascii="Cambria" w:hAnsi="Cambria"/>
        </w:rPr>
        <w:t xml:space="preserve"> Insolvencia de derecho (quiebra) o de hecho (morosidad) del deudor privado.</w:t>
      </w:r>
    </w:p>
    <w:p w14:paraId="6DDF14DA" w14:textId="77777777" w:rsidR="005F78D3" w:rsidRPr="00323D34" w:rsidRDefault="005F78D3" w:rsidP="00A6654E">
      <w:pPr>
        <w:numPr>
          <w:ilvl w:val="1"/>
          <w:numId w:val="3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Riesgo Político</w:t>
      </w:r>
      <w:r w:rsidRPr="00323D34">
        <w:rPr>
          <w:rFonts w:ascii="Cambria" w:hAnsi="Cambria"/>
        </w:rPr>
        <w:t>: Circunstancias del país que impiden el pago (crisis financiera, prohibición de transferencia de divisas, guerra).</w:t>
      </w:r>
    </w:p>
    <w:p w14:paraId="222FF40C" w14:textId="77777777" w:rsidR="005F78D3" w:rsidRPr="00323D34" w:rsidRDefault="005F78D3" w:rsidP="00A6654E">
      <w:pPr>
        <w:numPr>
          <w:ilvl w:val="1"/>
          <w:numId w:val="3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Riesgo Extraordinario:</w:t>
      </w:r>
      <w:r w:rsidRPr="00323D34">
        <w:rPr>
          <w:rFonts w:ascii="Cambria" w:hAnsi="Cambria"/>
        </w:rPr>
        <w:t xml:space="preserve"> Catástrofes (terremotos, inundaciones) ajenas a las partes.</w:t>
      </w:r>
    </w:p>
    <w:p w14:paraId="24B225C9" w14:textId="77777777" w:rsidR="005F78D3" w:rsidRPr="00323D34" w:rsidRDefault="005F78D3" w:rsidP="00A6654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23D34">
        <w:rPr>
          <w:rFonts w:ascii="Cambria" w:hAnsi="Cambria"/>
          <w:b/>
          <w:bCs/>
          <w:color w:val="auto"/>
          <w:sz w:val="28"/>
          <w:szCs w:val="28"/>
        </w:rPr>
        <w:t>3. CESCE (Compañía Española de Seguros de Crédito a la Exportación)</w:t>
      </w:r>
    </w:p>
    <w:p w14:paraId="6160570D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3.1. Naturaleza y Estructura</w:t>
      </w:r>
    </w:p>
    <w:p w14:paraId="47F86F0E" w14:textId="77777777" w:rsidR="005F78D3" w:rsidRPr="00323D34" w:rsidRDefault="005F78D3" w:rsidP="00A6654E">
      <w:pPr>
        <w:numPr>
          <w:ilvl w:val="0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Perfil</w:t>
      </w:r>
      <w:r w:rsidRPr="00323D34">
        <w:rPr>
          <w:rFonts w:ascii="Cambria" w:hAnsi="Cambria"/>
        </w:rPr>
        <w:t>: Sociedad Anónima de carácter mixto con mayoría pública.</w:t>
      </w:r>
    </w:p>
    <w:p w14:paraId="20C9440E" w14:textId="77777777" w:rsidR="005F78D3" w:rsidRPr="00323D34" w:rsidRDefault="005F78D3" w:rsidP="00A6654E">
      <w:pPr>
        <w:numPr>
          <w:ilvl w:val="0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Accionariado</w:t>
      </w:r>
      <w:r w:rsidRPr="00323D34">
        <w:rPr>
          <w:rFonts w:ascii="Cambria" w:hAnsi="Cambria"/>
        </w:rPr>
        <w:t>: Estado (50,25%), Banco Santander (23,88%), BBVA (16,3%) y otros.</w:t>
      </w:r>
    </w:p>
    <w:p w14:paraId="64448A00" w14:textId="77777777" w:rsidR="005F78D3" w:rsidRPr="00323D34" w:rsidRDefault="005F78D3" w:rsidP="00A6654E">
      <w:pPr>
        <w:numPr>
          <w:ilvl w:val="0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Condición</w:t>
      </w:r>
      <w:r w:rsidRPr="00323D34">
        <w:rPr>
          <w:rFonts w:ascii="Cambria" w:hAnsi="Cambria"/>
        </w:rPr>
        <w:t>: Agente Gestor del Estado (Ley 8/2014).</w:t>
      </w:r>
    </w:p>
    <w:p w14:paraId="346F15B1" w14:textId="77777777" w:rsidR="005F78D3" w:rsidRPr="00323D34" w:rsidRDefault="005F78D3" w:rsidP="00A6654E">
      <w:pPr>
        <w:numPr>
          <w:ilvl w:val="0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Líneas de negocio</w:t>
      </w:r>
      <w:r w:rsidRPr="00323D34">
        <w:rPr>
          <w:rFonts w:ascii="Cambria" w:hAnsi="Cambria"/>
        </w:rPr>
        <w:t>:</w:t>
      </w:r>
    </w:p>
    <w:p w14:paraId="249FEC29" w14:textId="77777777" w:rsidR="005F78D3" w:rsidRPr="00323D34" w:rsidRDefault="005F78D3" w:rsidP="00A6654E">
      <w:pPr>
        <w:numPr>
          <w:ilvl w:val="1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Seguro de Crédito y Caución.</w:t>
      </w:r>
    </w:p>
    <w:p w14:paraId="2633B7F7" w14:textId="77777777" w:rsidR="005F78D3" w:rsidRPr="00323D34" w:rsidRDefault="005F78D3" w:rsidP="00A6654E">
      <w:pPr>
        <w:numPr>
          <w:ilvl w:val="1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Información (Informa D&amp;B).</w:t>
      </w:r>
    </w:p>
    <w:p w14:paraId="292534C1" w14:textId="77777777" w:rsidR="005F78D3" w:rsidRPr="00323D34" w:rsidRDefault="005F78D3" w:rsidP="00A6654E">
      <w:pPr>
        <w:numPr>
          <w:ilvl w:val="1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Tecnología (CTI).</w:t>
      </w:r>
    </w:p>
    <w:p w14:paraId="1365A888" w14:textId="77777777" w:rsidR="005F78D3" w:rsidRPr="00323D34" w:rsidRDefault="005F78D3" w:rsidP="00A6654E">
      <w:pPr>
        <w:numPr>
          <w:ilvl w:val="0"/>
          <w:numId w:val="4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Presencia internacional</w:t>
      </w:r>
      <w:r w:rsidRPr="00323D34">
        <w:rPr>
          <w:rFonts w:ascii="Cambria" w:hAnsi="Cambria"/>
        </w:rPr>
        <w:t>: CIAC (Consorcio Internacional) en Latinoamérica (Brasil, Chile, Colombia, México, Perú).</w:t>
      </w:r>
    </w:p>
    <w:p w14:paraId="3DFF29C5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3.2. Modalidades de Cobertura (Doble fuente de financiación)</w:t>
      </w:r>
    </w:p>
    <w:p w14:paraId="00F24589" w14:textId="77777777" w:rsidR="005F78D3" w:rsidRPr="00323D34" w:rsidRDefault="005F78D3" w:rsidP="00A6654E">
      <w:pPr>
        <w:numPr>
          <w:ilvl w:val="0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Riesgos por Cuenta Propia</w:t>
      </w:r>
      <w:r w:rsidRPr="00323D34">
        <w:rPr>
          <w:rFonts w:ascii="Cambria" w:hAnsi="Cambria"/>
        </w:rPr>
        <w:t>:</w:t>
      </w:r>
    </w:p>
    <w:p w14:paraId="69623983" w14:textId="77777777" w:rsidR="005F78D3" w:rsidRPr="00323D34" w:rsidRDefault="005F78D3" w:rsidP="00A6654E">
      <w:pPr>
        <w:numPr>
          <w:ilvl w:val="1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CESCE actúa como compañía privada.</w:t>
      </w:r>
    </w:p>
    <w:p w14:paraId="78453EE3" w14:textId="77777777" w:rsidR="005F78D3" w:rsidRPr="00323D34" w:rsidRDefault="005F78D3" w:rsidP="00A6654E">
      <w:pPr>
        <w:numPr>
          <w:ilvl w:val="1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Cubre operaciones &lt; 2 años sobre deudores en países OCDE/UE.</w:t>
      </w:r>
    </w:p>
    <w:p w14:paraId="138A9024" w14:textId="77777777" w:rsidR="005F78D3" w:rsidRPr="00323D34" w:rsidRDefault="005F78D3" w:rsidP="00A6654E">
      <w:pPr>
        <w:numPr>
          <w:ilvl w:val="0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Riesgos por Cuenta del Estado</w:t>
      </w:r>
      <w:r w:rsidRPr="00323D34">
        <w:rPr>
          <w:rFonts w:ascii="Cambria" w:hAnsi="Cambria"/>
        </w:rPr>
        <w:t>:</w:t>
      </w:r>
    </w:p>
    <w:p w14:paraId="45C86A5A" w14:textId="77777777" w:rsidR="005F78D3" w:rsidRPr="00323D34" w:rsidRDefault="005F78D3" w:rsidP="00A6654E">
      <w:pPr>
        <w:numPr>
          <w:ilvl w:val="1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CESCE actúa como instrumento público (presupuestos del Estado).</w:t>
      </w:r>
    </w:p>
    <w:p w14:paraId="34A4DE28" w14:textId="77777777" w:rsidR="005F78D3" w:rsidRPr="00323D34" w:rsidRDefault="005F78D3" w:rsidP="00A6654E">
      <w:pPr>
        <w:numPr>
          <w:ilvl w:val="1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lastRenderedPageBreak/>
        <w:t>Cubre riesgos comerciales &gt; 2 años, riesgos políticos y extraordinarios.</w:t>
      </w:r>
    </w:p>
    <w:p w14:paraId="33EB67BE" w14:textId="77777777" w:rsidR="005F78D3" w:rsidRPr="00323D34" w:rsidRDefault="005F78D3" w:rsidP="00A6654E">
      <w:pPr>
        <w:numPr>
          <w:ilvl w:val="1"/>
          <w:numId w:val="5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 xml:space="preserve">Sujeto al </w:t>
      </w:r>
      <w:r w:rsidRPr="00323D34">
        <w:rPr>
          <w:rFonts w:ascii="Cambria" w:hAnsi="Cambria"/>
          <w:b/>
          <w:bCs/>
        </w:rPr>
        <w:t>Consenso de la OCDE</w:t>
      </w:r>
      <w:r w:rsidRPr="00323D34">
        <w:rPr>
          <w:rFonts w:ascii="Cambria" w:hAnsi="Cambria"/>
        </w:rPr>
        <w:t xml:space="preserve"> para evitar competencia desleal.</w:t>
      </w:r>
    </w:p>
    <w:p w14:paraId="68F7BB3D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3.3. Principios de Actuación</w:t>
      </w:r>
    </w:p>
    <w:p w14:paraId="02D6FD7D" w14:textId="77777777" w:rsidR="005F78D3" w:rsidRPr="00323D34" w:rsidRDefault="005F78D3" w:rsidP="00A6654E">
      <w:pPr>
        <w:numPr>
          <w:ilvl w:val="0"/>
          <w:numId w:val="6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Al ser capital mayoritariamente público, tiene condición de "poder no adjudicador".</w:t>
      </w:r>
    </w:p>
    <w:p w14:paraId="0CC74E39" w14:textId="77777777" w:rsidR="005F78D3" w:rsidRPr="00323D34" w:rsidRDefault="005F78D3" w:rsidP="00A6654E">
      <w:pPr>
        <w:numPr>
          <w:ilvl w:val="0"/>
          <w:numId w:val="6"/>
        </w:numPr>
        <w:jc w:val="both"/>
        <w:rPr>
          <w:rFonts w:ascii="Cambria" w:hAnsi="Cambria"/>
        </w:rPr>
      </w:pPr>
      <w:r w:rsidRPr="00323D34">
        <w:rPr>
          <w:rFonts w:ascii="Cambria" w:hAnsi="Cambria"/>
        </w:rPr>
        <w:t>Principios de adjudicación: Concurrencia, Publicidad y Confidencialidad.</w:t>
      </w:r>
    </w:p>
    <w:p w14:paraId="47457ED9" w14:textId="3078FB4A" w:rsidR="00A6654E" w:rsidRPr="00323D34" w:rsidRDefault="005F78D3" w:rsidP="00A6654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23D34">
        <w:rPr>
          <w:rFonts w:ascii="Cambria" w:hAnsi="Cambria"/>
          <w:b/>
          <w:bCs/>
          <w:color w:val="auto"/>
          <w:sz w:val="28"/>
          <w:szCs w:val="28"/>
        </w:rPr>
        <w:t>4. Principales Pólizas Ofrecidas por CESCE</w:t>
      </w:r>
      <w:r w:rsidR="00A6654E" w:rsidRPr="00323D34">
        <w:rPr>
          <w:rFonts w:ascii="Cambria" w:hAnsi="Cambria"/>
          <w:b/>
          <w:bCs/>
          <w:color w:val="auto"/>
          <w:sz w:val="28"/>
          <w:szCs w:val="28"/>
        </w:rPr>
        <w:t xml:space="preserve">* </w:t>
      </w:r>
    </w:p>
    <w:p w14:paraId="689B5850" w14:textId="1232587A" w:rsidR="00A6654E" w:rsidRPr="00323D34" w:rsidRDefault="00A6654E" w:rsidP="00A6654E">
      <w:pPr>
        <w:rPr>
          <w:rFonts w:ascii="Cambria" w:hAnsi="Cambria"/>
          <w:i/>
          <w:iCs/>
        </w:rPr>
      </w:pPr>
      <w:r w:rsidRPr="00323D34">
        <w:rPr>
          <w:rFonts w:ascii="Cambria" w:hAnsi="Cambria"/>
          <w:i/>
          <w:iCs/>
        </w:rPr>
        <w:t>*Puede que haya pólizas nuevas y/o desactualizadas</w:t>
      </w:r>
    </w:p>
    <w:p w14:paraId="7A1CE033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4.1. Seguros sin cobertura por Cuenta del Estado (Plazo &lt; 2 años)</w:t>
      </w:r>
    </w:p>
    <w:p w14:paraId="40D1FD2A" w14:textId="77777777" w:rsidR="005F78D3" w:rsidRPr="00323D34" w:rsidRDefault="005F78D3" w:rsidP="00A6654E">
      <w:pPr>
        <w:numPr>
          <w:ilvl w:val="0"/>
          <w:numId w:val="7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Máster Oro Integral</w:t>
      </w:r>
      <w:r w:rsidRPr="00323D34">
        <w:rPr>
          <w:rFonts w:ascii="Cambria" w:hAnsi="Cambria"/>
        </w:rPr>
        <w:t>: Cubre impago por cualquier causa. Sin cifra mínima de contratación.</w:t>
      </w:r>
    </w:p>
    <w:p w14:paraId="52E9F8D1" w14:textId="77777777" w:rsidR="005F78D3" w:rsidRPr="00323D34" w:rsidRDefault="005F78D3" w:rsidP="00A6654E">
      <w:pPr>
        <w:numPr>
          <w:ilvl w:val="0"/>
          <w:numId w:val="7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CESCE Fácil</w:t>
      </w:r>
      <w:r w:rsidRPr="00323D34">
        <w:rPr>
          <w:rFonts w:ascii="Cambria" w:hAnsi="Cambria"/>
        </w:rPr>
        <w:t>: Para PYMES (facturación &lt; 5M€). Gestión ágil, designación de beneficiario al banco.</w:t>
      </w:r>
    </w:p>
    <w:p w14:paraId="74FB4B7B" w14:textId="77777777" w:rsidR="005F78D3" w:rsidRPr="00323D34" w:rsidRDefault="005F78D3" w:rsidP="00A6654E">
      <w:pPr>
        <w:numPr>
          <w:ilvl w:val="0"/>
          <w:numId w:val="7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Clásica</w:t>
      </w:r>
      <w:r w:rsidRPr="00323D34">
        <w:rPr>
          <w:rFonts w:ascii="Cambria" w:hAnsi="Cambria"/>
        </w:rPr>
        <w:t>: Aseguramiento de toda la cartera de clientes a tasa fija.</w:t>
      </w:r>
    </w:p>
    <w:p w14:paraId="678B9A8D" w14:textId="77777777" w:rsidR="005F78D3" w:rsidRPr="00323D34" w:rsidRDefault="005F78D3" w:rsidP="00A6654E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23D34">
        <w:rPr>
          <w:rFonts w:ascii="Cambria" w:hAnsi="Cambria"/>
          <w:b/>
          <w:bCs/>
          <w:color w:val="auto"/>
          <w:sz w:val="24"/>
          <w:szCs w:val="24"/>
        </w:rPr>
        <w:t>4.2. Seguros por Cuenta del Estado (Plazo ≥ 2 años o riesgos especiales)</w:t>
      </w:r>
    </w:p>
    <w:p w14:paraId="71B51093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Crédito Circulante</w:t>
      </w:r>
      <w:r w:rsidRPr="00323D34">
        <w:rPr>
          <w:rFonts w:ascii="Cambria" w:hAnsi="Cambria"/>
        </w:rPr>
        <w:t>: Cubre al banco que financia el circulante (materias primas, personal) del exportador durante la ejecución de contratos. Cobertura habitual del 50% (hasta 99%).</w:t>
      </w:r>
    </w:p>
    <w:p w14:paraId="4A49D32F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de Crédito Comprador</w:t>
      </w:r>
      <w:r w:rsidRPr="00323D34">
        <w:rPr>
          <w:rFonts w:ascii="Cambria" w:hAnsi="Cambria"/>
        </w:rPr>
        <w:t>: Asegura al banco que presta dinero al importador extranjero. Cobertura 99% riesgos comerciales, políticos y extraordinarios.</w:t>
      </w:r>
    </w:p>
    <w:p w14:paraId="0D378E9D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de Crédito Suministrador</w:t>
      </w:r>
      <w:r w:rsidRPr="00323D34">
        <w:rPr>
          <w:rFonts w:ascii="Cambria" w:hAnsi="Cambria"/>
        </w:rPr>
        <w:t>: Asegura al exportador que otorga crédito al cliente. Cobertura 99% (riesgo crédito y resolución).</w:t>
      </w:r>
    </w:p>
    <w:p w14:paraId="2766DD07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Pólizas de Créditos Documentarios</w:t>
      </w:r>
      <w:r w:rsidRPr="00323D34">
        <w:rPr>
          <w:rFonts w:ascii="Cambria" w:hAnsi="Cambria"/>
        </w:rPr>
        <w:t>: Asegura a bancos españoles la confirmación de créditos documentarios emitidos por entidades extranjeras.</w:t>
      </w:r>
    </w:p>
    <w:p w14:paraId="303A0DAA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Individual:</w:t>
      </w:r>
      <w:r w:rsidRPr="00323D34">
        <w:rPr>
          <w:rFonts w:ascii="Cambria" w:hAnsi="Cambria"/>
        </w:rPr>
        <w:t xml:space="preserve"> Operación a operación.</w:t>
      </w:r>
    </w:p>
    <w:p w14:paraId="3E2B0E78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Abierta:</w:t>
      </w:r>
      <w:r w:rsidRPr="00323D34">
        <w:rPr>
          <w:rFonts w:ascii="Cambria" w:hAnsi="Cambria"/>
        </w:rPr>
        <w:t xml:space="preserve"> Cobertura global de entidades.</w:t>
      </w:r>
    </w:p>
    <w:p w14:paraId="14D6F806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de Seguro de Obras</w:t>
      </w:r>
      <w:r w:rsidRPr="00323D34">
        <w:rPr>
          <w:rFonts w:ascii="Cambria" w:hAnsi="Cambria"/>
        </w:rPr>
        <w:t>: Cubre a constructoras frente a impago, resolución indebida, no transferencia de fondos o expropiación de maquinaria.</w:t>
      </w:r>
    </w:p>
    <w:p w14:paraId="15F5BD46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Avales y Fianzas</w:t>
      </w:r>
      <w:r w:rsidRPr="00323D34">
        <w:rPr>
          <w:rFonts w:ascii="Cambria" w:hAnsi="Cambria"/>
        </w:rPr>
        <w:t>:</w:t>
      </w:r>
    </w:p>
    <w:p w14:paraId="0F6AD7A9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lastRenderedPageBreak/>
        <w:t>Ejecución de Avales:</w:t>
      </w:r>
      <w:r w:rsidRPr="00323D34">
        <w:rPr>
          <w:rFonts w:ascii="Cambria" w:hAnsi="Cambria"/>
        </w:rPr>
        <w:t xml:space="preserve"> Cubre al banco fiador frente al riesgo de ejecución indebida y posterior impago del exportador.</w:t>
      </w:r>
    </w:p>
    <w:p w14:paraId="10E02ED6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Fianzas Exportadores</w:t>
      </w:r>
      <w:r w:rsidRPr="00323D34">
        <w:rPr>
          <w:rFonts w:ascii="Cambria" w:hAnsi="Cambria"/>
        </w:rPr>
        <w:t>: Cubre al exportador (que da la fianza él mismo) frente a ejecución indebida.</w:t>
      </w:r>
    </w:p>
    <w:p w14:paraId="03718350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de Financiación de Inversiones Estratégicas</w:t>
      </w:r>
      <w:r w:rsidRPr="00323D34">
        <w:rPr>
          <w:rFonts w:ascii="Cambria" w:hAnsi="Cambria"/>
        </w:rPr>
        <w:t>: Facilita financiación para inversiones en España en sectores tecnológicos/verdes con potencial exportador. Cobertura 80%.</w:t>
      </w:r>
    </w:p>
    <w:p w14:paraId="34C7570D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Pólizas de Insumos Esenciales</w:t>
      </w:r>
      <w:r w:rsidRPr="00323D34">
        <w:rPr>
          <w:rFonts w:ascii="Cambria" w:hAnsi="Cambria"/>
        </w:rPr>
        <w:t>: Apoyo para la compra de insumos a medio-largo plazo (Aval Bancario o Garantía Directa al vendedor).</w:t>
      </w:r>
    </w:p>
    <w:p w14:paraId="5E635008" w14:textId="77777777" w:rsidR="005F78D3" w:rsidRPr="00323D34" w:rsidRDefault="005F78D3" w:rsidP="00A6654E">
      <w:pPr>
        <w:numPr>
          <w:ilvl w:val="0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Póliza de Inversiones en el Exterior</w:t>
      </w:r>
      <w:r w:rsidRPr="00323D34">
        <w:rPr>
          <w:rFonts w:ascii="Cambria" w:hAnsi="Cambria"/>
        </w:rPr>
        <w:t>:</w:t>
      </w:r>
    </w:p>
    <w:p w14:paraId="23023998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Para Inversores</w:t>
      </w:r>
      <w:r w:rsidRPr="00323D34">
        <w:rPr>
          <w:rFonts w:ascii="Cambria" w:hAnsi="Cambria"/>
        </w:rPr>
        <w:t>: Cubre pérdidas en filiales por riesgos políticos.</w:t>
      </w:r>
    </w:p>
    <w:p w14:paraId="27684B45" w14:textId="77777777" w:rsidR="005F78D3" w:rsidRPr="00323D34" w:rsidRDefault="005F78D3" w:rsidP="00A6654E">
      <w:pPr>
        <w:numPr>
          <w:ilvl w:val="1"/>
          <w:numId w:val="8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Para Financiadores:</w:t>
      </w:r>
      <w:r w:rsidRPr="00323D34">
        <w:rPr>
          <w:rFonts w:ascii="Cambria" w:hAnsi="Cambria"/>
        </w:rPr>
        <w:t xml:space="preserve"> Cubre al banco que financia la inversión frente a impago por causas políticas.</w:t>
      </w:r>
    </w:p>
    <w:p w14:paraId="671C61BE" w14:textId="77777777" w:rsidR="005F78D3" w:rsidRPr="00323D34" w:rsidRDefault="005F78D3" w:rsidP="00A6654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23D34">
        <w:rPr>
          <w:rFonts w:ascii="Cambria" w:hAnsi="Cambria"/>
          <w:b/>
          <w:bCs/>
          <w:color w:val="auto"/>
          <w:sz w:val="28"/>
          <w:szCs w:val="28"/>
        </w:rPr>
        <w:t>5. Conclusión y Novedades</w:t>
      </w:r>
    </w:p>
    <w:p w14:paraId="46DEA165" w14:textId="77777777" w:rsidR="005F78D3" w:rsidRPr="00323D34" w:rsidRDefault="005F78D3" w:rsidP="00A6654E">
      <w:pPr>
        <w:numPr>
          <w:ilvl w:val="0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Nuevas soluciones para PYMES y Sostenibilidad</w:t>
      </w:r>
      <w:r w:rsidRPr="00323D34">
        <w:rPr>
          <w:rFonts w:ascii="Cambria" w:hAnsi="Cambria"/>
        </w:rPr>
        <w:t>:</w:t>
      </w:r>
    </w:p>
    <w:p w14:paraId="65E284B1" w14:textId="77777777" w:rsidR="005F78D3" w:rsidRPr="00323D34" w:rsidRDefault="005F78D3" w:rsidP="00A6654E">
      <w:pPr>
        <w:numPr>
          <w:ilvl w:val="1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CESCE Fácil</w:t>
      </w:r>
      <w:r w:rsidRPr="00323D34">
        <w:rPr>
          <w:rFonts w:ascii="Cambria" w:hAnsi="Cambria"/>
        </w:rPr>
        <w:t>: 100% online, prima fija.</w:t>
      </w:r>
    </w:p>
    <w:p w14:paraId="3E0974CF" w14:textId="77777777" w:rsidR="005F78D3" w:rsidRPr="00323D34" w:rsidRDefault="005F78D3" w:rsidP="00A6654E">
      <w:pPr>
        <w:numPr>
          <w:ilvl w:val="1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Póliza Verde</w:t>
      </w:r>
      <w:r w:rsidRPr="00323D34">
        <w:rPr>
          <w:rFonts w:ascii="Cambria" w:hAnsi="Cambria"/>
        </w:rPr>
        <w:t>: Descuentos y condiciones especiales para sectores medioambientales.</w:t>
      </w:r>
    </w:p>
    <w:p w14:paraId="0BD3025E" w14:textId="77777777" w:rsidR="005F78D3" w:rsidRPr="00323D34" w:rsidRDefault="005F78D3" w:rsidP="00A6654E">
      <w:pPr>
        <w:numPr>
          <w:ilvl w:val="1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Póliza Emprende</w:t>
      </w:r>
      <w:r w:rsidRPr="00323D34">
        <w:rPr>
          <w:rFonts w:ascii="Cambria" w:hAnsi="Cambria"/>
        </w:rPr>
        <w:t>: Para empresas &lt; 18 meses.</w:t>
      </w:r>
    </w:p>
    <w:p w14:paraId="390E8978" w14:textId="77777777" w:rsidR="005F78D3" w:rsidRPr="00323D34" w:rsidRDefault="005F78D3" w:rsidP="00A6654E">
      <w:pPr>
        <w:numPr>
          <w:ilvl w:val="0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b/>
          <w:bCs/>
        </w:rPr>
        <w:t>Medidas extraordinarias</w:t>
      </w:r>
      <w:r w:rsidRPr="00323D34">
        <w:rPr>
          <w:rFonts w:ascii="Cambria" w:hAnsi="Cambria"/>
        </w:rPr>
        <w:t>:</w:t>
      </w:r>
    </w:p>
    <w:p w14:paraId="7DBC98B5" w14:textId="77777777" w:rsidR="005F78D3" w:rsidRPr="00323D34" w:rsidRDefault="005F78D3" w:rsidP="00A6654E">
      <w:pPr>
        <w:numPr>
          <w:ilvl w:val="1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>Líneas COVID-19:</w:t>
      </w:r>
      <w:r w:rsidRPr="00323D34">
        <w:rPr>
          <w:rFonts w:ascii="Cambria" w:hAnsi="Cambria"/>
        </w:rPr>
        <w:t xml:space="preserve"> Cobertura de circulante (hasta 2.000 M€).</w:t>
      </w:r>
    </w:p>
    <w:p w14:paraId="473B48F8" w14:textId="77777777" w:rsidR="005F78D3" w:rsidRPr="00323D34" w:rsidRDefault="005F78D3" w:rsidP="00A6654E">
      <w:pPr>
        <w:numPr>
          <w:ilvl w:val="1"/>
          <w:numId w:val="9"/>
        </w:numPr>
        <w:jc w:val="both"/>
        <w:rPr>
          <w:rFonts w:ascii="Cambria" w:hAnsi="Cambria"/>
        </w:rPr>
      </w:pPr>
      <w:r w:rsidRPr="00323D34">
        <w:rPr>
          <w:rFonts w:ascii="Cambria" w:hAnsi="Cambria"/>
          <w:u w:val="single"/>
        </w:rPr>
        <w:t xml:space="preserve">Estatuto </w:t>
      </w:r>
      <w:proofErr w:type="spellStart"/>
      <w:r w:rsidRPr="00323D34">
        <w:rPr>
          <w:rFonts w:ascii="Cambria" w:hAnsi="Cambria"/>
          <w:u w:val="single"/>
        </w:rPr>
        <w:t>Electrointensivos</w:t>
      </w:r>
      <w:proofErr w:type="spellEnd"/>
      <w:r w:rsidRPr="00323D34">
        <w:rPr>
          <w:rFonts w:ascii="Cambria" w:hAnsi="Cambria"/>
        </w:rPr>
        <w:t>: CESCE como Agente Gestor para cubrir riesgos de compraventa de energía a plazo (Fondo FERGEI).</w:t>
      </w:r>
    </w:p>
    <w:p w14:paraId="10636249" w14:textId="77777777" w:rsidR="00A65383" w:rsidRPr="00323D34" w:rsidRDefault="00A65383" w:rsidP="00A6654E">
      <w:pPr>
        <w:jc w:val="both"/>
        <w:rPr>
          <w:rFonts w:ascii="Cambria" w:hAnsi="Cambria"/>
        </w:rPr>
      </w:pPr>
    </w:p>
    <w:sectPr w:rsidR="00A65383" w:rsidRPr="00323D3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3B1DF" w14:textId="77777777" w:rsidR="005F78D3" w:rsidRDefault="005F78D3" w:rsidP="005F78D3">
      <w:pPr>
        <w:spacing w:after="0" w:line="240" w:lineRule="auto"/>
      </w:pPr>
      <w:r>
        <w:separator/>
      </w:r>
    </w:p>
  </w:endnote>
  <w:endnote w:type="continuationSeparator" w:id="0">
    <w:p w14:paraId="15A7F9F3" w14:textId="77777777" w:rsidR="005F78D3" w:rsidRDefault="005F78D3" w:rsidP="005F7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4AC62" w14:textId="77777777" w:rsidR="005F78D3" w:rsidRDefault="005F78D3" w:rsidP="005F78D3">
      <w:pPr>
        <w:spacing w:after="0" w:line="240" w:lineRule="auto"/>
      </w:pPr>
      <w:r>
        <w:separator/>
      </w:r>
    </w:p>
  </w:footnote>
  <w:footnote w:type="continuationSeparator" w:id="0">
    <w:p w14:paraId="596946C0" w14:textId="77777777" w:rsidR="005F78D3" w:rsidRDefault="005F78D3" w:rsidP="005F7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3AA4B" w14:textId="61D395E0" w:rsidR="005F78D3" w:rsidRPr="00A6654E" w:rsidRDefault="005F78D3" w:rsidP="00A6654E">
    <w:pPr>
      <w:pStyle w:val="Encabezado"/>
      <w:jc w:val="both"/>
      <w:rPr>
        <w:rFonts w:ascii="Palatino Linotype" w:hAnsi="Palatino Linotype"/>
        <w:i/>
        <w:iCs/>
      </w:rPr>
    </w:pPr>
    <w:r w:rsidRPr="00A6654E">
      <w:rPr>
        <w:rFonts w:ascii="Palatino Linotype" w:hAnsi="Palatino Linotype"/>
        <w:b/>
        <w:bCs/>
        <w:i/>
        <w:iCs/>
      </w:rPr>
      <w:t>TEMA 8 -</w:t>
    </w:r>
    <w:r w:rsidRPr="00A6654E">
      <w:rPr>
        <w:rFonts w:ascii="Palatino Linotype" w:hAnsi="Palatino Linotype"/>
        <w:i/>
        <w:iCs/>
      </w:rPr>
      <w:t xml:space="preserve"> Instrumentos financieros de apoyo a la internacionalización de la economía y las empresas españolas (II). El Seguro de Crédito. Características generales. Riesgos susceptibles de cobertura: clasificación. La Compañía Española de Seguro de Crédito a la Exportación. Principales modalidades de póliza.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B3AF4"/>
    <w:multiLevelType w:val="multilevel"/>
    <w:tmpl w:val="A6BA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F1FC0"/>
    <w:multiLevelType w:val="multilevel"/>
    <w:tmpl w:val="5EFA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B65B1"/>
    <w:multiLevelType w:val="multilevel"/>
    <w:tmpl w:val="EB141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0E3D95"/>
    <w:multiLevelType w:val="multilevel"/>
    <w:tmpl w:val="8BE8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6D33AA"/>
    <w:multiLevelType w:val="multilevel"/>
    <w:tmpl w:val="6CF8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0435A1"/>
    <w:multiLevelType w:val="multilevel"/>
    <w:tmpl w:val="308E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84360C"/>
    <w:multiLevelType w:val="multilevel"/>
    <w:tmpl w:val="6090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64BD5"/>
    <w:multiLevelType w:val="multilevel"/>
    <w:tmpl w:val="C0F28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D3508B"/>
    <w:multiLevelType w:val="multilevel"/>
    <w:tmpl w:val="3EE2A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982615">
    <w:abstractNumId w:val="4"/>
  </w:num>
  <w:num w:numId="2" w16cid:durableId="1620719631">
    <w:abstractNumId w:val="5"/>
  </w:num>
  <w:num w:numId="3" w16cid:durableId="1930381192">
    <w:abstractNumId w:val="7"/>
  </w:num>
  <w:num w:numId="4" w16cid:durableId="2037273284">
    <w:abstractNumId w:val="6"/>
  </w:num>
  <w:num w:numId="5" w16cid:durableId="491676859">
    <w:abstractNumId w:val="8"/>
  </w:num>
  <w:num w:numId="6" w16cid:durableId="2006013859">
    <w:abstractNumId w:val="1"/>
  </w:num>
  <w:num w:numId="7" w16cid:durableId="748236666">
    <w:abstractNumId w:val="3"/>
  </w:num>
  <w:num w:numId="8" w16cid:durableId="1637642377">
    <w:abstractNumId w:val="2"/>
  </w:num>
  <w:num w:numId="9" w16cid:durableId="43530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8D3"/>
    <w:rsid w:val="00323D34"/>
    <w:rsid w:val="005803BC"/>
    <w:rsid w:val="005F78D3"/>
    <w:rsid w:val="00A65383"/>
    <w:rsid w:val="00A6654E"/>
    <w:rsid w:val="00A8675C"/>
    <w:rsid w:val="00C12CFD"/>
    <w:rsid w:val="00D057CF"/>
    <w:rsid w:val="00DA2FD0"/>
    <w:rsid w:val="00DA5584"/>
    <w:rsid w:val="00E8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4914A"/>
  <w15:chartTrackingRefBased/>
  <w15:docId w15:val="{FEE7305F-1A68-4313-818B-75A45103C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7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7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7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7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7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7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7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7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F7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F7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7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78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78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78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78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78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78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7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7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7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7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7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78D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F78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7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78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78D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F78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78D3"/>
  </w:style>
  <w:style w:type="paragraph" w:styleId="Piedepgina">
    <w:name w:val="footer"/>
    <w:basedOn w:val="Normal"/>
    <w:link w:val="PiedepginaCar"/>
    <w:uiPriority w:val="99"/>
    <w:unhideWhenUsed/>
    <w:rsid w:val="005F78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78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841</Words>
  <Characters>4629</Characters>
  <Application>Microsoft Office Word</Application>
  <DocSecurity>0</DocSecurity>
  <Lines>38</Lines>
  <Paragraphs>10</Paragraphs>
  <ScaleCrop>false</ScaleCrop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2025-11-21T12:41:00Z</dcterms:created>
  <dcterms:modified xsi:type="dcterms:W3CDTF">2026-01-14T14:09:00Z</dcterms:modified>
</cp:coreProperties>
</file>