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7E77" w14:textId="77777777" w:rsidR="00E86E74" w:rsidRPr="00776C5B" w:rsidRDefault="00E86E74" w:rsidP="00776C5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76C5B">
        <w:rPr>
          <w:rFonts w:ascii="Cambria" w:hAnsi="Cambria"/>
          <w:b/>
          <w:bCs/>
          <w:color w:val="auto"/>
          <w:sz w:val="28"/>
          <w:szCs w:val="28"/>
        </w:rPr>
        <w:t>1. INTRODUCCIÓN: LIBERALIZACIÓN DEL SECTOR SERVICIOS</w:t>
      </w:r>
    </w:p>
    <w:p w14:paraId="528B8B53" w14:textId="0301A165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1.1 Contexto General</w:t>
      </w:r>
    </w:p>
    <w:p w14:paraId="4E6CBECD" w14:textId="77777777" w:rsidR="00E86E74" w:rsidRPr="00776C5B" w:rsidRDefault="00E86E74" w:rsidP="00776C5B">
      <w:pPr>
        <w:numPr>
          <w:ilvl w:val="0"/>
          <w:numId w:val="1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Terciarización:</w:t>
      </w:r>
      <w:r w:rsidRPr="00776C5B">
        <w:rPr>
          <w:rFonts w:ascii="Cambria" w:hAnsi="Cambria"/>
        </w:rPr>
        <w:t xml:space="preserve"> Aumento del peso del sector servicios en detrimento de actividades primarias y secundarias. En España el proceso fue más tardío (años 80) pero más rápido que en otros PD.</w:t>
      </w:r>
    </w:p>
    <w:p w14:paraId="3CE09B89" w14:textId="77777777" w:rsidR="00E86E74" w:rsidRPr="00776C5B" w:rsidRDefault="00E86E74" w:rsidP="00776C5B">
      <w:pPr>
        <w:numPr>
          <w:ilvl w:val="0"/>
          <w:numId w:val="1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Datos clave (INE, Contabilidad Nacional 2023):</w:t>
      </w:r>
    </w:p>
    <w:p w14:paraId="0FBBA12D" w14:textId="77777777" w:rsidR="00E86E74" w:rsidRPr="00776C5B" w:rsidRDefault="00E86E74" w:rsidP="00776C5B">
      <w:pPr>
        <w:numPr>
          <w:ilvl w:val="1"/>
          <w:numId w:val="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68,5% del PIB.</w:t>
      </w:r>
    </w:p>
    <w:p w14:paraId="2C22FCFD" w14:textId="77777777" w:rsidR="00E86E74" w:rsidRPr="00776C5B" w:rsidRDefault="00E86E74" w:rsidP="00776C5B">
      <w:pPr>
        <w:numPr>
          <w:ilvl w:val="1"/>
          <w:numId w:val="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78,6% del empleo total.</w:t>
      </w:r>
    </w:p>
    <w:p w14:paraId="55502DE1" w14:textId="77777777" w:rsidR="00E86E74" w:rsidRPr="00776C5B" w:rsidRDefault="00E86E74" w:rsidP="00776C5B">
      <w:pPr>
        <w:numPr>
          <w:ilvl w:val="1"/>
          <w:numId w:val="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Correlación positiva: a mayor nivel de ingresos del país, mayor demanda de servicios.</w:t>
      </w:r>
    </w:p>
    <w:p w14:paraId="7FFD04E0" w14:textId="77777777" w:rsidR="00E86E74" w:rsidRPr="00776C5B" w:rsidRDefault="00E86E74" w:rsidP="00776C5B">
      <w:pPr>
        <w:numPr>
          <w:ilvl w:val="1"/>
          <w:numId w:val="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Comparativa UE: Aunque elevada, la dimensión es inferior a países como Holanda, Reino Unido o Bélgica.</w:t>
      </w:r>
    </w:p>
    <w:p w14:paraId="28B0F40C" w14:textId="2244B23E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1.2 Características principales de las actividades terciarias</w:t>
      </w:r>
    </w:p>
    <w:p w14:paraId="278F2EC7" w14:textId="77777777" w:rsidR="00E86E74" w:rsidRPr="00776C5B" w:rsidRDefault="00E86E74" w:rsidP="00776C5B">
      <w:pPr>
        <w:numPr>
          <w:ilvl w:val="0"/>
          <w:numId w:val="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Generación de empleo:</w:t>
      </w:r>
      <w:r w:rsidRPr="00776C5B">
        <w:rPr>
          <w:rFonts w:ascii="Cambria" w:hAnsi="Cambria"/>
        </w:rPr>
        <w:t xml:space="preserve"> Sector que más empleo genera por el carácter personal (frecuentemente irremplazable). Compensa la destrucción de empleo en otros sectores y absorbe la expansión de la población activa (mujeres, inmigrantes, jóvenes). Suaviza fluctuaciones cíclicas.</w:t>
      </w:r>
    </w:p>
    <w:p w14:paraId="3B024788" w14:textId="77777777" w:rsidR="00E86E74" w:rsidRPr="00776C5B" w:rsidRDefault="00E86E74" w:rsidP="00776C5B">
      <w:pPr>
        <w:numPr>
          <w:ilvl w:val="0"/>
          <w:numId w:val="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Productividad y Tecnología:</w:t>
      </w:r>
      <w:r w:rsidRPr="00776C5B">
        <w:rPr>
          <w:rFonts w:ascii="Cambria" w:hAnsi="Cambria"/>
        </w:rPr>
        <w:t xml:space="preserve"> Menor productividad relativa, pero no es ajeno a la tecnología. Engloba actividades dinámicas y estratégicas (transporte aéreo, telecomunicaciones, TIC).</w:t>
      </w:r>
    </w:p>
    <w:p w14:paraId="617F11EF" w14:textId="77777777" w:rsidR="00E86E74" w:rsidRPr="00776C5B" w:rsidRDefault="00E86E74" w:rsidP="00776C5B">
      <w:pPr>
        <w:numPr>
          <w:ilvl w:val="0"/>
          <w:numId w:val="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Inflación:</w:t>
      </w:r>
      <w:r w:rsidRPr="00776C5B">
        <w:rPr>
          <w:rFonts w:ascii="Cambria" w:hAnsi="Cambria"/>
        </w:rPr>
        <w:t xml:space="preserve"> Tiende a presentar tasas más altas que otros sectores.</w:t>
      </w:r>
    </w:p>
    <w:p w14:paraId="62DFDC62" w14:textId="77777777" w:rsidR="00E86E74" w:rsidRPr="00776C5B" w:rsidRDefault="00E86E74" w:rsidP="00776C5B">
      <w:pPr>
        <w:numPr>
          <w:ilvl w:val="0"/>
          <w:numId w:val="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Dificultad en obtención de datos:</w:t>
      </w:r>
      <w:r w:rsidRPr="00776C5B">
        <w:rPr>
          <w:rFonts w:ascii="Cambria" w:hAnsi="Cambria"/>
        </w:rPr>
        <w:t xml:space="preserve"> Debido a la heterogeneidad, existencia de Servicios No de Mercado (Sector Público), dificultad de separar servicios en empresas industriales y economía sumergida.</w:t>
      </w:r>
    </w:p>
    <w:p w14:paraId="41167E48" w14:textId="7BE90CCE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1.3 Comercio de servicios</w:t>
      </w:r>
    </w:p>
    <w:p w14:paraId="16F77277" w14:textId="77777777" w:rsidR="00E86E74" w:rsidRPr="00776C5B" w:rsidRDefault="00E86E74" w:rsidP="00776C5B">
      <w:pPr>
        <w:numPr>
          <w:ilvl w:val="0"/>
          <w:numId w:val="3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Presenta superávit en la Balanza de Pagos.</w:t>
      </w:r>
    </w:p>
    <w:p w14:paraId="2DEEFEB2" w14:textId="77777777" w:rsidR="00E86E74" w:rsidRPr="00776C5B" w:rsidRDefault="00E86E74" w:rsidP="00776C5B">
      <w:pPr>
        <w:numPr>
          <w:ilvl w:val="0"/>
          <w:numId w:val="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Turismo:</w:t>
      </w:r>
      <w:r w:rsidRPr="00776C5B">
        <w:rPr>
          <w:rFonts w:ascii="Cambria" w:hAnsi="Cambria"/>
        </w:rPr>
        <w:t xml:space="preserve"> 46,5% de ingresos por servicios en 2023 (fuerte recuperación tras la caída al 20,5% en 2020).</w:t>
      </w:r>
    </w:p>
    <w:p w14:paraId="59ADEC7E" w14:textId="67373D7B" w:rsidR="00E86E74" w:rsidRPr="00776C5B" w:rsidRDefault="00E86E74" w:rsidP="00776C5B">
      <w:pPr>
        <w:numPr>
          <w:ilvl w:val="0"/>
          <w:numId w:val="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Servicios empresariales y financieros:</w:t>
      </w:r>
      <w:r w:rsidRPr="00776C5B">
        <w:rPr>
          <w:rFonts w:ascii="Cambria" w:hAnsi="Cambria"/>
        </w:rPr>
        <w:t xml:space="preserve"> Escaso desarrollo respecto a la UE. En 2023 representaron un 53,5% de las exportaciones de servicios.</w:t>
      </w:r>
    </w:p>
    <w:p w14:paraId="00568195" w14:textId="77777777" w:rsidR="00E86E74" w:rsidRPr="00776C5B" w:rsidRDefault="00E86E74" w:rsidP="00776C5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76C5B">
        <w:rPr>
          <w:rFonts w:ascii="Cambria" w:hAnsi="Cambria"/>
          <w:b/>
          <w:bCs/>
          <w:color w:val="auto"/>
          <w:sz w:val="28"/>
          <w:szCs w:val="28"/>
        </w:rPr>
        <w:lastRenderedPageBreak/>
        <w:t>2. EVOLUCIÓN Y POLÍTICA DE LIBERALIZACIÓN</w:t>
      </w:r>
    </w:p>
    <w:p w14:paraId="11B5E283" w14:textId="0B56BED4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2.1 Fases del proceso de terciarización</w:t>
      </w:r>
    </w:p>
    <w:p w14:paraId="09BF639B" w14:textId="77777777" w:rsidR="00E86E74" w:rsidRPr="00776C5B" w:rsidRDefault="00E86E74" w:rsidP="00776C5B">
      <w:pPr>
        <w:numPr>
          <w:ilvl w:val="0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Años 60-70:</w:t>
      </w:r>
      <w:r w:rsidRPr="00776C5B">
        <w:rPr>
          <w:rFonts w:ascii="Cambria" w:hAnsi="Cambria"/>
        </w:rPr>
        <w:t xml:space="preserve"> Inicio moderado con el turismo extranjero.</w:t>
      </w:r>
    </w:p>
    <w:p w14:paraId="0E5CF301" w14:textId="77777777" w:rsidR="00E86E74" w:rsidRPr="00776C5B" w:rsidRDefault="00E86E74" w:rsidP="00776C5B">
      <w:pPr>
        <w:numPr>
          <w:ilvl w:val="0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Años 80:</w:t>
      </w:r>
      <w:r w:rsidRPr="00776C5B">
        <w:rPr>
          <w:rFonts w:ascii="Cambria" w:hAnsi="Cambria"/>
        </w:rPr>
        <w:t xml:space="preserve"> Desarrollo decidido por:</w:t>
      </w:r>
    </w:p>
    <w:p w14:paraId="1EE33427" w14:textId="77777777" w:rsidR="00E86E74" w:rsidRPr="00776C5B" w:rsidRDefault="00E86E74" w:rsidP="00776C5B">
      <w:pPr>
        <w:numPr>
          <w:ilvl w:val="1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Formación del Estado de Bienestar (educación y sanidad como Servicios No de Mercado).</w:t>
      </w:r>
    </w:p>
    <w:p w14:paraId="0D549072" w14:textId="77777777" w:rsidR="00E86E74" w:rsidRPr="00776C5B" w:rsidRDefault="00E86E74" w:rsidP="00776C5B">
      <w:pPr>
        <w:numPr>
          <w:ilvl w:val="1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Estado Autonómico (aumento de servicios de AAPP).</w:t>
      </w:r>
    </w:p>
    <w:p w14:paraId="00362E06" w14:textId="77777777" w:rsidR="00E86E74" w:rsidRPr="00776C5B" w:rsidRDefault="00E86E74" w:rsidP="00776C5B">
      <w:pPr>
        <w:numPr>
          <w:ilvl w:val="1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Aumento de renta: mayor demanda de ocio, comercio, seguridad, etc.</w:t>
      </w:r>
    </w:p>
    <w:p w14:paraId="39905008" w14:textId="77777777" w:rsidR="00E86E74" w:rsidRPr="00776C5B" w:rsidRDefault="00E86E74" w:rsidP="00776C5B">
      <w:pPr>
        <w:numPr>
          <w:ilvl w:val="1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Externalización empresarial: limpieza, selección de personal, marketing.</w:t>
      </w:r>
    </w:p>
    <w:p w14:paraId="705B110E" w14:textId="0FB012A8" w:rsidR="00E86E74" w:rsidRPr="00776C5B" w:rsidRDefault="00E86E74" w:rsidP="00776C5B">
      <w:pPr>
        <w:numPr>
          <w:ilvl w:val="0"/>
          <w:numId w:val="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Años 90 (Política de Liberalización):</w:t>
      </w:r>
      <w:r w:rsidRPr="00776C5B">
        <w:rPr>
          <w:rFonts w:ascii="Cambria" w:hAnsi="Cambria"/>
        </w:rPr>
        <w:t xml:space="preserve"> Impulsada por la UE y el Tratado de Maastricht.</w:t>
      </w:r>
    </w:p>
    <w:p w14:paraId="70AA3F9E" w14:textId="093B8FE1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2.2 Justificación de la Liberalización</w:t>
      </w:r>
    </w:p>
    <w:p w14:paraId="4E578237" w14:textId="63D2BB55" w:rsidR="00E86E74" w:rsidRPr="00776C5B" w:rsidRDefault="00E86E74" w:rsidP="00776C5B">
      <w:pPr>
        <w:numPr>
          <w:ilvl w:val="0"/>
          <w:numId w:val="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Objetivo:</w:t>
      </w:r>
      <w:r w:rsidRPr="00776C5B">
        <w:rPr>
          <w:rFonts w:ascii="Cambria" w:hAnsi="Cambria"/>
        </w:rPr>
        <w:t xml:space="preserve"> Contener </w:t>
      </w:r>
      <w:r w:rsidRPr="00934789">
        <w:rPr>
          <w:rFonts w:ascii="Cambria" w:hAnsi="Cambria"/>
        </w:rPr>
        <w:t>la Inflación Dual</w:t>
      </w:r>
      <w:r w:rsidRPr="00776C5B">
        <w:rPr>
          <w:rFonts w:ascii="Cambria" w:hAnsi="Cambria"/>
        </w:rPr>
        <w:t>. Los precios de los servicios tendían a crecer más rápido que los bienes</w:t>
      </w:r>
      <w:r w:rsidR="00934789">
        <w:rPr>
          <w:rFonts w:ascii="Cambria" w:hAnsi="Cambria"/>
        </w:rPr>
        <w:t xml:space="preserve">, </w:t>
      </w:r>
      <w:r w:rsidRPr="00776C5B">
        <w:rPr>
          <w:rFonts w:ascii="Cambria" w:hAnsi="Cambria"/>
        </w:rPr>
        <w:t>desestabilizando la economía.</w:t>
      </w:r>
    </w:p>
    <w:p w14:paraId="0E2B4E87" w14:textId="77777777" w:rsidR="00E86E74" w:rsidRPr="00776C5B" w:rsidRDefault="00E86E74" w:rsidP="00776C5B">
      <w:pPr>
        <w:numPr>
          <w:ilvl w:val="0"/>
          <w:numId w:val="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Meta:</w:t>
      </w:r>
      <w:r w:rsidRPr="00776C5B">
        <w:rPr>
          <w:rFonts w:ascii="Cambria" w:hAnsi="Cambria"/>
        </w:rPr>
        <w:t xml:space="preserve"> Competir en mercados internacionales en condiciones de costes óptimas.</w:t>
      </w:r>
    </w:p>
    <w:p w14:paraId="22D3A192" w14:textId="3924C1C2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</w:rPr>
        <w:t>Nuevo diseño de la Política de Regulación</w:t>
      </w:r>
      <w:r w:rsidR="006644EA">
        <w:rPr>
          <w:rFonts w:ascii="Cambria" w:hAnsi="Cambria"/>
        </w:rPr>
        <w:t xml:space="preserve">. </w:t>
      </w:r>
      <w:r w:rsidRPr="00776C5B">
        <w:rPr>
          <w:rFonts w:ascii="Cambria" w:hAnsi="Cambria"/>
        </w:rPr>
        <w:t>No implica necesariamente desregulación, sino:</w:t>
      </w:r>
    </w:p>
    <w:p w14:paraId="2BEA1BC8" w14:textId="77777777" w:rsidR="00E86E74" w:rsidRPr="00776C5B" w:rsidRDefault="00E86E74" w:rsidP="00776C5B">
      <w:pPr>
        <w:numPr>
          <w:ilvl w:val="0"/>
          <w:numId w:val="6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Separación de regulador y regulado (privatización de empresas públicas).</w:t>
      </w:r>
    </w:p>
    <w:p w14:paraId="4F3894E8" w14:textId="77777777" w:rsidR="00E86E74" w:rsidRPr="00776C5B" w:rsidRDefault="00E86E74" w:rsidP="00776C5B">
      <w:pPr>
        <w:numPr>
          <w:ilvl w:val="0"/>
          <w:numId w:val="6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Garantía de acceso a nuevos competidores en igualdad.</w:t>
      </w:r>
    </w:p>
    <w:p w14:paraId="48B56C89" w14:textId="77777777" w:rsidR="00E86E74" w:rsidRPr="00776C5B" w:rsidRDefault="00E86E74" w:rsidP="00776C5B">
      <w:pPr>
        <w:numPr>
          <w:ilvl w:val="0"/>
          <w:numId w:val="6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Refuerzo de la Defensa de la Competencia.</w:t>
      </w:r>
    </w:p>
    <w:p w14:paraId="73119EF4" w14:textId="77777777" w:rsidR="00E86E74" w:rsidRPr="00776C5B" w:rsidRDefault="00E86E74" w:rsidP="00776C5B">
      <w:pPr>
        <w:numPr>
          <w:ilvl w:val="0"/>
          <w:numId w:val="6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Garantía de prestación de servicio universal (en algunos casos).</w:t>
      </w:r>
    </w:p>
    <w:p w14:paraId="145CEA65" w14:textId="4A987777" w:rsidR="00E86E74" w:rsidRPr="00776C5B" w:rsidRDefault="00E86E74" w:rsidP="006644EA">
      <w:pPr>
        <w:jc w:val="both"/>
        <w:rPr>
          <w:rFonts w:ascii="Cambria" w:hAnsi="Cambria"/>
        </w:rPr>
      </w:pPr>
      <w:r w:rsidRPr="001E177D">
        <w:rPr>
          <w:rFonts w:ascii="Cambria" w:hAnsi="Cambria"/>
          <w:u w:val="single"/>
        </w:rPr>
        <w:t>Beneficiarios:</w:t>
      </w:r>
      <w:r w:rsidRPr="00776C5B">
        <w:rPr>
          <w:rFonts w:ascii="Cambria" w:hAnsi="Cambria"/>
        </w:rPr>
        <w:t xml:space="preserve"> Consumidores y empresas (inputs más baratos).</w:t>
      </w:r>
    </w:p>
    <w:p w14:paraId="4B98D34C" w14:textId="77777777" w:rsidR="00E86E74" w:rsidRPr="00776C5B" w:rsidRDefault="00E86E74" w:rsidP="00776C5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76C5B">
        <w:rPr>
          <w:rFonts w:ascii="Cambria" w:hAnsi="Cambria"/>
          <w:b/>
          <w:bCs/>
          <w:color w:val="auto"/>
          <w:sz w:val="28"/>
          <w:szCs w:val="28"/>
        </w:rPr>
        <w:t>3. LIBERALIZACIÓN POR SECTORES</w:t>
      </w:r>
    </w:p>
    <w:p w14:paraId="40EEE3B3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3.1 Servicios Financieros</w:t>
      </w:r>
    </w:p>
    <w:p w14:paraId="27A222BF" w14:textId="77777777" w:rsidR="00E86E74" w:rsidRPr="00776C5B" w:rsidRDefault="00E86E74" w:rsidP="00776C5B">
      <w:pPr>
        <w:numPr>
          <w:ilvl w:val="0"/>
          <w:numId w:val="8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 xml:space="preserve">Proceso rápido para el </w:t>
      </w:r>
      <w:r w:rsidRPr="006644EA">
        <w:rPr>
          <w:rFonts w:ascii="Cambria" w:hAnsi="Cambria"/>
        </w:rPr>
        <w:t>Espacio Financiero Europeo (1993).</w:t>
      </w:r>
    </w:p>
    <w:p w14:paraId="121BAF43" w14:textId="77777777" w:rsidR="00E86E74" w:rsidRPr="00776C5B" w:rsidRDefault="00E86E74" w:rsidP="00776C5B">
      <w:pPr>
        <w:numPr>
          <w:ilvl w:val="0"/>
          <w:numId w:val="8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Hitos: Libre circulación de capitales (1992) y libre prestación de servicios (pasaporte comunitario).</w:t>
      </w:r>
    </w:p>
    <w:p w14:paraId="4B1F67D1" w14:textId="77777777" w:rsidR="00E86E74" w:rsidRPr="00776C5B" w:rsidRDefault="00E86E74" w:rsidP="00776C5B">
      <w:pPr>
        <w:numPr>
          <w:ilvl w:val="0"/>
          <w:numId w:val="8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Resultados: Aumento de competencia/eficiencia, reducción de márgenes.</w:t>
      </w:r>
    </w:p>
    <w:p w14:paraId="0EDEABE6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lastRenderedPageBreak/>
        <w:t>3.2 Servicios de Telecomunicaciones</w:t>
      </w:r>
    </w:p>
    <w:p w14:paraId="0F754A69" w14:textId="77777777" w:rsidR="00E86E74" w:rsidRPr="00776C5B" w:rsidRDefault="00E86E74" w:rsidP="00776C5B">
      <w:pPr>
        <w:numPr>
          <w:ilvl w:val="0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Telefonía Móvil:</w:t>
      </w:r>
    </w:p>
    <w:p w14:paraId="21B445EF" w14:textId="77777777" w:rsidR="00E86E74" w:rsidRPr="00776C5B" w:rsidRDefault="00E86E74" w:rsidP="00776C5B">
      <w:pPr>
        <w:numPr>
          <w:ilvl w:val="1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1994: Segundo operador (</w:t>
      </w:r>
      <w:proofErr w:type="spellStart"/>
      <w:r w:rsidRPr="00776C5B">
        <w:rPr>
          <w:rFonts w:ascii="Cambria" w:hAnsi="Cambria"/>
        </w:rPr>
        <w:t>Airtel</w:t>
      </w:r>
      <w:proofErr w:type="spellEnd"/>
      <w:r w:rsidRPr="00776C5B">
        <w:rPr>
          <w:rFonts w:ascii="Cambria" w:hAnsi="Cambria"/>
        </w:rPr>
        <w:t>/Vodafone).</w:t>
      </w:r>
    </w:p>
    <w:p w14:paraId="1BEBA69C" w14:textId="77777777" w:rsidR="00E86E74" w:rsidRPr="00776C5B" w:rsidRDefault="00E86E74" w:rsidP="00776C5B">
      <w:pPr>
        <w:numPr>
          <w:ilvl w:val="1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1999: Tercer operador (Amena/Orange).</w:t>
      </w:r>
    </w:p>
    <w:p w14:paraId="3A637EC5" w14:textId="77777777" w:rsidR="00E86E74" w:rsidRPr="00776C5B" w:rsidRDefault="00E86E74" w:rsidP="00776C5B">
      <w:pPr>
        <w:numPr>
          <w:ilvl w:val="0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Regulación:</w:t>
      </w:r>
      <w:r w:rsidRPr="00776C5B">
        <w:rPr>
          <w:rFonts w:ascii="Cambria" w:hAnsi="Cambria"/>
        </w:rPr>
        <w:t xml:space="preserve"> Creación de la CMT (1996), integrada </w:t>
      </w:r>
      <w:r w:rsidRPr="001E177D">
        <w:rPr>
          <w:rFonts w:ascii="Cambria" w:hAnsi="Cambria"/>
        </w:rPr>
        <w:t>en la CNMC en</w:t>
      </w:r>
      <w:r w:rsidRPr="00776C5B">
        <w:rPr>
          <w:rFonts w:ascii="Cambria" w:hAnsi="Cambria"/>
        </w:rPr>
        <w:t xml:space="preserve"> 2013.</w:t>
      </w:r>
    </w:p>
    <w:p w14:paraId="16032C14" w14:textId="77777777" w:rsidR="00E86E74" w:rsidRPr="00776C5B" w:rsidRDefault="00E86E74" w:rsidP="00776C5B">
      <w:pPr>
        <w:numPr>
          <w:ilvl w:val="0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Telefonía Fija:</w:t>
      </w:r>
    </w:p>
    <w:p w14:paraId="12BEACF2" w14:textId="77777777" w:rsidR="00E86E74" w:rsidRPr="00776C5B" w:rsidRDefault="00E86E74" w:rsidP="00776C5B">
      <w:pPr>
        <w:numPr>
          <w:ilvl w:val="1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1996: Segundo operador (</w:t>
      </w:r>
      <w:proofErr w:type="spellStart"/>
      <w:r w:rsidRPr="00776C5B">
        <w:rPr>
          <w:rFonts w:ascii="Cambria" w:hAnsi="Cambria"/>
        </w:rPr>
        <w:t>Retevisión</w:t>
      </w:r>
      <w:proofErr w:type="spellEnd"/>
      <w:r w:rsidRPr="00776C5B">
        <w:rPr>
          <w:rFonts w:ascii="Cambria" w:hAnsi="Cambria"/>
        </w:rPr>
        <w:t>).</w:t>
      </w:r>
    </w:p>
    <w:p w14:paraId="37FD83CD" w14:textId="77777777" w:rsidR="00E86E74" w:rsidRPr="00776C5B" w:rsidRDefault="00E86E74" w:rsidP="00776C5B">
      <w:pPr>
        <w:numPr>
          <w:ilvl w:val="1"/>
          <w:numId w:val="9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1998: Obligación de Telefónica de poner su red al servicio de entrantes (interconexión).</w:t>
      </w:r>
    </w:p>
    <w:p w14:paraId="13B618AE" w14:textId="77777777" w:rsidR="00E86E74" w:rsidRPr="001E177D" w:rsidRDefault="00E86E74" w:rsidP="00776C5B">
      <w:pPr>
        <w:numPr>
          <w:ilvl w:val="1"/>
          <w:numId w:val="9"/>
        </w:numPr>
        <w:jc w:val="both"/>
        <w:rPr>
          <w:rFonts w:ascii="Cambria" w:hAnsi="Cambria"/>
        </w:rPr>
      </w:pPr>
      <w:r w:rsidRPr="001E177D">
        <w:rPr>
          <w:rFonts w:ascii="Cambria" w:hAnsi="Cambria"/>
        </w:rPr>
        <w:t>2001: Apertura del bucle local (fin del monopolio).</w:t>
      </w:r>
    </w:p>
    <w:p w14:paraId="4BDD9072" w14:textId="77777777" w:rsidR="00E86E74" w:rsidRPr="00776C5B" w:rsidRDefault="00E86E74" w:rsidP="00776C5B">
      <w:pPr>
        <w:numPr>
          <w:ilvl w:val="1"/>
          <w:numId w:val="9"/>
        </w:numPr>
        <w:jc w:val="both"/>
        <w:rPr>
          <w:rFonts w:ascii="Cambria" w:hAnsi="Cambria"/>
        </w:rPr>
      </w:pPr>
      <w:r w:rsidRPr="001E177D">
        <w:rPr>
          <w:rFonts w:ascii="Cambria" w:hAnsi="Cambria"/>
        </w:rPr>
        <w:t>2006: Liberalización</w:t>
      </w:r>
      <w:r w:rsidRPr="00776C5B">
        <w:rPr>
          <w:rFonts w:ascii="Cambria" w:hAnsi="Cambria"/>
        </w:rPr>
        <w:t xml:space="preserve"> de tarifas minoristas (fin de precios regulados).</w:t>
      </w:r>
    </w:p>
    <w:p w14:paraId="0DFB38F6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3.3 Servicios de Transporte</w:t>
      </w:r>
    </w:p>
    <w:p w14:paraId="79C4FD25" w14:textId="29894FAB" w:rsidR="00E86E74" w:rsidRPr="00776C5B" w:rsidRDefault="00E86E74" w:rsidP="00776C5B">
      <w:pPr>
        <w:numPr>
          <w:ilvl w:val="0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Carretera:</w:t>
      </w:r>
      <w:r w:rsidRPr="00776C5B">
        <w:rPr>
          <w:rFonts w:ascii="Cambria" w:hAnsi="Cambria"/>
        </w:rPr>
        <w:t xml:space="preserve"> Privatización de ENATCAR, adquirida por ALSA. Sector atomizado.</w:t>
      </w:r>
    </w:p>
    <w:p w14:paraId="15307519" w14:textId="77777777" w:rsidR="00E86E74" w:rsidRPr="00776C5B" w:rsidRDefault="00E86E74" w:rsidP="00776C5B">
      <w:pPr>
        <w:numPr>
          <w:ilvl w:val="0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Aéreo:</w:t>
      </w:r>
    </w:p>
    <w:p w14:paraId="7F08EEE9" w14:textId="77777777" w:rsidR="00E86E74" w:rsidRPr="00776C5B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 xml:space="preserve">Fin del monopolio público: Air Europa (1993) y </w:t>
      </w:r>
      <w:proofErr w:type="spellStart"/>
      <w:r w:rsidRPr="00776C5B">
        <w:rPr>
          <w:rFonts w:ascii="Cambria" w:hAnsi="Cambria"/>
        </w:rPr>
        <w:t>Spanair</w:t>
      </w:r>
      <w:proofErr w:type="spellEnd"/>
      <w:r w:rsidRPr="00776C5B">
        <w:rPr>
          <w:rFonts w:ascii="Cambria" w:hAnsi="Cambria"/>
        </w:rPr>
        <w:t xml:space="preserve"> (1994).</w:t>
      </w:r>
    </w:p>
    <w:p w14:paraId="14C24EA4" w14:textId="77777777" w:rsidR="00E86E74" w:rsidRPr="00776C5B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Privatización de Iberia (1999), adquirida mayoritariamente por British Airways (2010).</w:t>
      </w:r>
    </w:p>
    <w:p w14:paraId="7D4FB5ED" w14:textId="77777777" w:rsidR="00E86E74" w:rsidRPr="00776C5B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 xml:space="preserve">Irrupción de compañías </w:t>
      </w:r>
      <w:proofErr w:type="spellStart"/>
      <w:proofErr w:type="gramStart"/>
      <w:r w:rsidRPr="00776C5B">
        <w:rPr>
          <w:rFonts w:ascii="Cambria" w:hAnsi="Cambria"/>
          <w:i/>
          <w:iCs/>
        </w:rPr>
        <w:t>low</w:t>
      </w:r>
      <w:proofErr w:type="spellEnd"/>
      <w:r w:rsidRPr="00776C5B">
        <w:rPr>
          <w:rFonts w:ascii="Cambria" w:hAnsi="Cambria"/>
          <w:i/>
          <w:iCs/>
        </w:rPr>
        <w:t xml:space="preserve"> </w:t>
      </w:r>
      <w:proofErr w:type="spellStart"/>
      <w:r w:rsidRPr="00776C5B">
        <w:rPr>
          <w:rFonts w:ascii="Cambria" w:hAnsi="Cambria"/>
          <w:i/>
          <w:iCs/>
        </w:rPr>
        <w:t>cost</w:t>
      </w:r>
      <w:proofErr w:type="spellEnd"/>
      <w:proofErr w:type="gramEnd"/>
      <w:r w:rsidRPr="00776C5B">
        <w:rPr>
          <w:rFonts w:ascii="Cambria" w:hAnsi="Cambria"/>
        </w:rPr>
        <w:t xml:space="preserve"> (Ryanair, Vueling).</w:t>
      </w:r>
    </w:p>
    <w:p w14:paraId="760348D2" w14:textId="77777777" w:rsidR="00E86E74" w:rsidRPr="00776C5B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Subvenciones por servicio público a islas, Ceuta y Melilla.</w:t>
      </w:r>
    </w:p>
    <w:p w14:paraId="770D86B7" w14:textId="77777777" w:rsidR="00E86E74" w:rsidRPr="00776C5B" w:rsidRDefault="00E86E74" w:rsidP="00776C5B">
      <w:pPr>
        <w:numPr>
          <w:ilvl w:val="0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Ferrocarril:</w:t>
      </w:r>
    </w:p>
    <w:p w14:paraId="5CF60002" w14:textId="77777777" w:rsidR="00E86E74" w:rsidRPr="00934789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Infraestructuras vs Operación:</w:t>
      </w:r>
      <w:r w:rsidRPr="00776C5B">
        <w:rPr>
          <w:rFonts w:ascii="Cambria" w:hAnsi="Cambria"/>
        </w:rPr>
        <w:t xml:space="preserve"> </w:t>
      </w:r>
      <w:r w:rsidRPr="00934789">
        <w:rPr>
          <w:rFonts w:ascii="Cambria" w:hAnsi="Cambria"/>
        </w:rPr>
        <w:t>Separación establecida por la Ley del Sector Ferroviario (2003). Creación de ADIF (infraestructura) y RENFE-Operadora (servicio).</w:t>
      </w:r>
    </w:p>
    <w:p w14:paraId="646B2B5C" w14:textId="77777777" w:rsidR="00E86E74" w:rsidRPr="00776C5B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Mercancías:</w:t>
      </w:r>
      <w:r w:rsidRPr="00776C5B">
        <w:rPr>
          <w:rFonts w:ascii="Cambria" w:hAnsi="Cambria"/>
        </w:rPr>
        <w:t xml:space="preserve"> Liberalizado desde 2005.</w:t>
      </w:r>
    </w:p>
    <w:p w14:paraId="7E6B5211" w14:textId="77777777" w:rsidR="00E86E74" w:rsidRPr="00776C5B" w:rsidRDefault="00E86E74" w:rsidP="00776C5B">
      <w:pPr>
        <w:numPr>
          <w:ilvl w:val="1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Viajeros:</w:t>
      </w:r>
    </w:p>
    <w:p w14:paraId="76385AB9" w14:textId="77777777" w:rsidR="00E86E74" w:rsidRPr="00776C5B" w:rsidRDefault="00E86E74" w:rsidP="00776C5B">
      <w:pPr>
        <w:numPr>
          <w:ilvl w:val="2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Monopolio de RENFE hasta la liberalización reciente.</w:t>
      </w:r>
    </w:p>
    <w:p w14:paraId="6AFD517B" w14:textId="042534CE" w:rsidR="00E86E74" w:rsidRPr="006644EA" w:rsidRDefault="00E86E74" w:rsidP="00776C5B">
      <w:pPr>
        <w:numPr>
          <w:ilvl w:val="2"/>
          <w:numId w:val="10"/>
        </w:numPr>
        <w:jc w:val="both"/>
        <w:rPr>
          <w:rFonts w:ascii="Cambria" w:hAnsi="Cambria"/>
        </w:rPr>
      </w:pPr>
      <w:r w:rsidRPr="006644EA">
        <w:rPr>
          <w:rFonts w:ascii="Cambria" w:hAnsi="Cambria"/>
        </w:rPr>
        <w:t>Cuarto Paquete Ferroviario UE: Apertura de mercados nacionales.</w:t>
      </w:r>
    </w:p>
    <w:p w14:paraId="132BD9A4" w14:textId="77777777" w:rsidR="00E86E74" w:rsidRPr="006644EA" w:rsidRDefault="00E86E74" w:rsidP="00776C5B">
      <w:pPr>
        <w:numPr>
          <w:ilvl w:val="2"/>
          <w:numId w:val="10"/>
        </w:numPr>
        <w:jc w:val="both"/>
        <w:rPr>
          <w:rFonts w:ascii="Cambria" w:hAnsi="Cambria"/>
        </w:rPr>
      </w:pPr>
      <w:r w:rsidRPr="006644EA">
        <w:rPr>
          <w:rFonts w:ascii="Cambria" w:hAnsi="Cambria"/>
        </w:rPr>
        <w:t xml:space="preserve">Entrada de competencia en Alta Velocidad: OUIGO (SNCF) en 2021 y AVLO (Renfe </w:t>
      </w:r>
      <w:proofErr w:type="spellStart"/>
      <w:proofErr w:type="gramStart"/>
      <w:r w:rsidRPr="006644EA">
        <w:rPr>
          <w:rFonts w:ascii="Cambria" w:hAnsi="Cambria"/>
        </w:rPr>
        <w:t>low</w:t>
      </w:r>
      <w:proofErr w:type="spellEnd"/>
      <w:r w:rsidRPr="006644EA">
        <w:rPr>
          <w:rFonts w:ascii="Cambria" w:hAnsi="Cambria"/>
        </w:rPr>
        <w:t xml:space="preserve"> </w:t>
      </w:r>
      <w:proofErr w:type="spellStart"/>
      <w:r w:rsidRPr="006644EA">
        <w:rPr>
          <w:rFonts w:ascii="Cambria" w:hAnsi="Cambria"/>
        </w:rPr>
        <w:t>cost</w:t>
      </w:r>
      <w:proofErr w:type="spellEnd"/>
      <w:proofErr w:type="gramEnd"/>
      <w:r w:rsidRPr="006644EA">
        <w:rPr>
          <w:rFonts w:ascii="Cambria" w:hAnsi="Cambria"/>
        </w:rPr>
        <w:t>).</w:t>
      </w:r>
    </w:p>
    <w:p w14:paraId="14492918" w14:textId="77777777" w:rsidR="00E86E74" w:rsidRPr="00776C5B" w:rsidRDefault="00E86E74" w:rsidP="00776C5B">
      <w:pPr>
        <w:numPr>
          <w:ilvl w:val="2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lastRenderedPageBreak/>
        <w:t>Obligaciones de Servicio Público: Licitación obligatoria para 2024.</w:t>
      </w:r>
    </w:p>
    <w:p w14:paraId="55BA4041" w14:textId="77777777" w:rsidR="00E86E74" w:rsidRPr="00776C5B" w:rsidRDefault="00E86E74" w:rsidP="00776C5B">
      <w:pPr>
        <w:numPr>
          <w:ilvl w:val="0"/>
          <w:numId w:val="10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Marítimo:</w:t>
      </w:r>
      <w:r w:rsidRPr="00776C5B">
        <w:rPr>
          <w:rFonts w:ascii="Cambria" w:hAnsi="Cambria"/>
        </w:rPr>
        <w:t xml:space="preserve"> Liberalizado desde 1996 (salvo cabotaje a islas/Ceuta y Melilla declarado de interés público).</w:t>
      </w:r>
    </w:p>
    <w:p w14:paraId="653FE2D7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3.4 Servicios Turísticos</w:t>
      </w:r>
    </w:p>
    <w:p w14:paraId="5EEE3B27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Importancia Económica</w:t>
      </w:r>
    </w:p>
    <w:p w14:paraId="74603A54" w14:textId="77777777" w:rsidR="00E86E74" w:rsidRPr="00776C5B" w:rsidRDefault="00E86E74" w:rsidP="00776C5B">
      <w:pPr>
        <w:numPr>
          <w:ilvl w:val="0"/>
          <w:numId w:val="1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Factor fundamental de competitividad exterior (compensa déficit comercial).</w:t>
      </w:r>
    </w:p>
    <w:p w14:paraId="2AAAAFB0" w14:textId="77777777" w:rsidR="00E86E74" w:rsidRPr="00776C5B" w:rsidRDefault="00E86E74" w:rsidP="00776C5B">
      <w:pPr>
        <w:numPr>
          <w:ilvl w:val="0"/>
          <w:numId w:val="1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 xml:space="preserve">España: 2ª potencia mundial en turistas (tras Francia) y 2ª en ingresos (tras </w:t>
      </w:r>
      <w:proofErr w:type="gramStart"/>
      <w:r w:rsidRPr="00776C5B">
        <w:rPr>
          <w:rFonts w:ascii="Cambria" w:hAnsi="Cambria"/>
        </w:rPr>
        <w:t>EEUU</w:t>
      </w:r>
      <w:proofErr w:type="gramEnd"/>
      <w:r w:rsidRPr="00776C5B">
        <w:rPr>
          <w:rFonts w:ascii="Cambria" w:hAnsi="Cambria"/>
        </w:rPr>
        <w:t>).</w:t>
      </w:r>
    </w:p>
    <w:p w14:paraId="7122C07C" w14:textId="77777777" w:rsidR="00E86E74" w:rsidRPr="006644EA" w:rsidRDefault="00E86E74" w:rsidP="00776C5B">
      <w:pPr>
        <w:numPr>
          <w:ilvl w:val="0"/>
          <w:numId w:val="1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 xml:space="preserve">Datos </w:t>
      </w:r>
      <w:r w:rsidRPr="006644EA">
        <w:rPr>
          <w:rFonts w:ascii="Cambria" w:hAnsi="Cambria"/>
        </w:rPr>
        <w:t>2023: 11,9% del PIB y 9,6% del empleo total.</w:t>
      </w:r>
    </w:p>
    <w:p w14:paraId="5D3F552C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Oferta Turística</w:t>
      </w:r>
    </w:p>
    <w:p w14:paraId="61B36A33" w14:textId="77777777" w:rsidR="00E86E74" w:rsidRPr="00776C5B" w:rsidRDefault="00E86E74" w:rsidP="00776C5B">
      <w:pPr>
        <w:numPr>
          <w:ilvl w:val="0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Recursos:</w:t>
      </w:r>
      <w:r w:rsidRPr="00776C5B">
        <w:rPr>
          <w:rFonts w:ascii="Cambria" w:hAnsi="Cambria"/>
        </w:rPr>
        <w:t xml:space="preserve"> Naturales (8.000 km costa, montañoso) e Histórico-Culturales (3º país Patrimonio Humanidad).</w:t>
      </w:r>
    </w:p>
    <w:p w14:paraId="3AFE11FA" w14:textId="77777777" w:rsidR="00E86E74" w:rsidRPr="00776C5B" w:rsidRDefault="00E86E74" w:rsidP="00776C5B">
      <w:pPr>
        <w:numPr>
          <w:ilvl w:val="0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Alojamientos:</w:t>
      </w:r>
      <w:r w:rsidRPr="00776C5B">
        <w:rPr>
          <w:rFonts w:ascii="Cambria" w:hAnsi="Cambria"/>
        </w:rPr>
        <w:t xml:space="preserve"> Sobredimensionados.</w:t>
      </w:r>
    </w:p>
    <w:p w14:paraId="4004696E" w14:textId="4B6617DC" w:rsidR="00E86E74" w:rsidRPr="00776C5B" w:rsidRDefault="00E86E74" w:rsidP="00776C5B">
      <w:pPr>
        <w:numPr>
          <w:ilvl w:val="1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Apartamentos/Viviendas: ~800.000 plazas. Fuerte auge de l</w:t>
      </w:r>
      <w:r w:rsidR="00934789">
        <w:rPr>
          <w:rFonts w:ascii="Cambria" w:hAnsi="Cambria"/>
        </w:rPr>
        <w:t xml:space="preserve">os </w:t>
      </w:r>
      <w:r w:rsidRPr="00776C5B">
        <w:rPr>
          <w:rFonts w:ascii="Cambria" w:hAnsi="Cambria"/>
        </w:rPr>
        <w:t>apartamentos turísticos</w:t>
      </w:r>
      <w:r w:rsidR="00934789">
        <w:rPr>
          <w:rFonts w:ascii="Cambria" w:hAnsi="Cambria"/>
        </w:rPr>
        <w:t xml:space="preserve"> </w:t>
      </w:r>
      <w:r w:rsidRPr="00776C5B">
        <w:rPr>
          <w:rFonts w:ascii="Cambria" w:hAnsi="Cambria"/>
        </w:rPr>
        <w:t>generando problemas de acceso a vivienda residencial.</w:t>
      </w:r>
    </w:p>
    <w:p w14:paraId="044D70FD" w14:textId="77777777" w:rsidR="00E86E74" w:rsidRPr="00776C5B" w:rsidRDefault="00E86E74" w:rsidP="00776C5B">
      <w:pPr>
        <w:numPr>
          <w:ilvl w:val="1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Hoteleros: ~1,5 millones de plazas.</w:t>
      </w:r>
    </w:p>
    <w:p w14:paraId="29F44D16" w14:textId="77777777" w:rsidR="00E86E74" w:rsidRPr="00776C5B" w:rsidRDefault="00E86E74" w:rsidP="00776C5B">
      <w:pPr>
        <w:numPr>
          <w:ilvl w:val="1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Campings: &gt;500.000 plazas.</w:t>
      </w:r>
    </w:p>
    <w:p w14:paraId="1C3E2128" w14:textId="77777777" w:rsidR="00E86E74" w:rsidRPr="00776C5B" w:rsidRDefault="00E86E74" w:rsidP="00776C5B">
      <w:pPr>
        <w:numPr>
          <w:ilvl w:val="0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Operadores:</w:t>
      </w:r>
      <w:r w:rsidRPr="00776C5B">
        <w:rPr>
          <w:rFonts w:ascii="Cambria" w:hAnsi="Cambria"/>
        </w:rPr>
        <w:t xml:space="preserve"> Estructura dual (grandes agencias vs. pequeñas en crisis). Tour-operadores extranjeros captan 50% del turismo receptor.</w:t>
      </w:r>
    </w:p>
    <w:p w14:paraId="168ABF0B" w14:textId="77777777" w:rsidR="00E86E74" w:rsidRPr="00776C5B" w:rsidRDefault="00E86E74" w:rsidP="00776C5B">
      <w:pPr>
        <w:numPr>
          <w:ilvl w:val="0"/>
          <w:numId w:val="12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Otros:</w:t>
      </w:r>
      <w:r w:rsidRPr="00776C5B">
        <w:rPr>
          <w:rFonts w:ascii="Cambria" w:hAnsi="Cambria"/>
        </w:rPr>
        <w:t xml:space="preserve"> Golf, puertos deportivos, estaciones de esquí.</w:t>
      </w:r>
    </w:p>
    <w:p w14:paraId="63CFD5B9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Productos Turísticos</w:t>
      </w:r>
    </w:p>
    <w:p w14:paraId="3746F40C" w14:textId="77777777" w:rsidR="00E86E74" w:rsidRPr="00776C5B" w:rsidRDefault="00E86E74" w:rsidP="00776C5B">
      <w:pPr>
        <w:numPr>
          <w:ilvl w:val="0"/>
          <w:numId w:val="1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Sol y Playa:</w:t>
      </w:r>
      <w:r w:rsidRPr="00776C5B">
        <w:rPr>
          <w:rFonts w:ascii="Cambria" w:hAnsi="Cambria"/>
        </w:rPr>
        <w:t xml:space="preserve"> Producto básico, muy competitivo (clima, localización, precio).</w:t>
      </w:r>
    </w:p>
    <w:p w14:paraId="380D4208" w14:textId="77777777" w:rsidR="00E86E74" w:rsidRPr="00776C5B" w:rsidRDefault="00E86E74" w:rsidP="00776C5B">
      <w:pPr>
        <w:numPr>
          <w:ilvl w:val="0"/>
          <w:numId w:val="1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Cultural:</w:t>
      </w:r>
      <w:r w:rsidRPr="00776C5B">
        <w:rPr>
          <w:rFonts w:ascii="Cambria" w:hAnsi="Cambria"/>
        </w:rPr>
        <w:t xml:space="preserve"> Menor estacionalidad, mayor gasto.</w:t>
      </w:r>
    </w:p>
    <w:p w14:paraId="6FAB064B" w14:textId="77777777" w:rsidR="00E86E74" w:rsidRPr="00776C5B" w:rsidRDefault="00E86E74" w:rsidP="00776C5B">
      <w:pPr>
        <w:numPr>
          <w:ilvl w:val="0"/>
          <w:numId w:val="1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Rural:</w:t>
      </w:r>
      <w:r w:rsidRPr="00776C5B">
        <w:rPr>
          <w:rFonts w:ascii="Cambria" w:hAnsi="Cambria"/>
        </w:rPr>
        <w:t xml:space="preserve"> Alternativa para zonas en declive.</w:t>
      </w:r>
    </w:p>
    <w:p w14:paraId="0F1D5FD6" w14:textId="77777777" w:rsidR="00E86E74" w:rsidRPr="00776C5B" w:rsidRDefault="00E86E74" w:rsidP="00776C5B">
      <w:pPr>
        <w:numPr>
          <w:ilvl w:val="0"/>
          <w:numId w:val="1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Negocios:</w:t>
      </w:r>
      <w:r w:rsidRPr="00776C5B">
        <w:rPr>
          <w:rFonts w:ascii="Cambria" w:hAnsi="Cambria"/>
        </w:rPr>
        <w:t xml:space="preserve"> Alto gasto medio.</w:t>
      </w:r>
    </w:p>
    <w:p w14:paraId="74F2607E" w14:textId="77777777" w:rsidR="00E86E74" w:rsidRPr="00776C5B" w:rsidRDefault="00E86E74" w:rsidP="00776C5B">
      <w:pPr>
        <w:numPr>
          <w:ilvl w:val="0"/>
          <w:numId w:val="1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Social/3ª Edad:</w:t>
      </w:r>
      <w:r w:rsidRPr="00776C5B">
        <w:rPr>
          <w:rFonts w:ascii="Cambria" w:hAnsi="Cambria"/>
        </w:rPr>
        <w:t xml:space="preserve"> Gestionado por entes públicos (IMSERSO), clave para temporada baja.</w:t>
      </w:r>
    </w:p>
    <w:p w14:paraId="116CB41E" w14:textId="77777777" w:rsidR="00E86E74" w:rsidRPr="00776C5B" w:rsidRDefault="00E86E74" w:rsidP="00776C5B">
      <w:pPr>
        <w:numPr>
          <w:ilvl w:val="0"/>
          <w:numId w:val="1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Salud y Compras:</w:t>
      </w:r>
      <w:r w:rsidRPr="00776C5B">
        <w:rPr>
          <w:rFonts w:ascii="Cambria" w:hAnsi="Cambria"/>
        </w:rPr>
        <w:t xml:space="preserve"> En desarrollo (</w:t>
      </w:r>
      <w:proofErr w:type="spellStart"/>
      <w:r w:rsidRPr="00776C5B">
        <w:rPr>
          <w:rFonts w:ascii="Cambria" w:hAnsi="Cambria"/>
        </w:rPr>
        <w:t>ZGAT's</w:t>
      </w:r>
      <w:proofErr w:type="spellEnd"/>
      <w:r w:rsidRPr="00776C5B">
        <w:rPr>
          <w:rFonts w:ascii="Cambria" w:hAnsi="Cambria"/>
        </w:rPr>
        <w:t>, Plan Turismo de Compras).</w:t>
      </w:r>
    </w:p>
    <w:p w14:paraId="12469D92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Demanda Turística</w:t>
      </w:r>
    </w:p>
    <w:p w14:paraId="3A17A622" w14:textId="77777777" w:rsidR="00E86E74" w:rsidRPr="00776C5B" w:rsidRDefault="00E86E74" w:rsidP="00776C5B">
      <w:pPr>
        <w:numPr>
          <w:ilvl w:val="0"/>
          <w:numId w:val="1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Externa:</w:t>
      </w:r>
    </w:p>
    <w:p w14:paraId="384D33C1" w14:textId="77777777" w:rsidR="00E86E74" w:rsidRPr="00776C5B" w:rsidRDefault="00E86E74" w:rsidP="00776C5B">
      <w:pPr>
        <w:numPr>
          <w:ilvl w:val="1"/>
          <w:numId w:val="1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lastRenderedPageBreak/>
        <w:t>Origen: 80% UE+UK (Francia, UK, Alemania).</w:t>
      </w:r>
    </w:p>
    <w:p w14:paraId="04C73EF2" w14:textId="77777777" w:rsidR="00E86E74" w:rsidRPr="00776C5B" w:rsidRDefault="00E86E74" w:rsidP="00776C5B">
      <w:pPr>
        <w:numPr>
          <w:ilvl w:val="1"/>
          <w:numId w:val="1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Evolución: Récord en 2019 (83,5M turistas). Caída drástica COVID (2020-2022). Recuperación total en 2023 (85,1M turistas, +1,9% sobre 2019).</w:t>
      </w:r>
    </w:p>
    <w:p w14:paraId="6AC6767E" w14:textId="77777777" w:rsidR="00E86E74" w:rsidRPr="00776C5B" w:rsidRDefault="00E86E74" w:rsidP="00776C5B">
      <w:pPr>
        <w:numPr>
          <w:ilvl w:val="1"/>
          <w:numId w:val="1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Vía entrada: Avión (83%).</w:t>
      </w:r>
    </w:p>
    <w:p w14:paraId="5ABCC2E6" w14:textId="77777777" w:rsidR="00E86E74" w:rsidRPr="00776C5B" w:rsidRDefault="00E86E74" w:rsidP="00776C5B">
      <w:pPr>
        <w:numPr>
          <w:ilvl w:val="1"/>
          <w:numId w:val="14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Concentración: Estacional (julio-septiembre) y Geográfica (Mediterráneo, Islas).</w:t>
      </w:r>
    </w:p>
    <w:p w14:paraId="168DC69A" w14:textId="77777777" w:rsidR="00E86E74" w:rsidRPr="00776C5B" w:rsidRDefault="00E86E74" w:rsidP="00776C5B">
      <w:pPr>
        <w:numPr>
          <w:ilvl w:val="0"/>
          <w:numId w:val="1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Interna:</w:t>
      </w:r>
      <w:r w:rsidRPr="00776C5B">
        <w:rPr>
          <w:rFonts w:ascii="Cambria" w:hAnsi="Cambria"/>
        </w:rPr>
        <w:t xml:space="preserve"> Menor concentración geográfica pero menor gasto medio.</w:t>
      </w:r>
    </w:p>
    <w:p w14:paraId="5808BBA4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Planes de Política Turística</w:t>
      </w:r>
    </w:p>
    <w:p w14:paraId="6213572C" w14:textId="77777777" w:rsidR="00E86E74" w:rsidRPr="00776C5B" w:rsidRDefault="00E86E74" w:rsidP="00776C5B">
      <w:pPr>
        <w:numPr>
          <w:ilvl w:val="0"/>
          <w:numId w:val="1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Planes históricos: FUTURES (92-99), PICTE (2000-06), Plan 2020, PNIT (2012-2015).</w:t>
      </w:r>
    </w:p>
    <w:p w14:paraId="1B040F99" w14:textId="77777777" w:rsidR="00E86E74" w:rsidRPr="00776C5B" w:rsidRDefault="00E86E74" w:rsidP="00776C5B">
      <w:pPr>
        <w:numPr>
          <w:ilvl w:val="0"/>
          <w:numId w:val="1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Plan Estratégico de Marketing 2018-2020:</w:t>
      </w:r>
      <w:r w:rsidRPr="00776C5B">
        <w:rPr>
          <w:rFonts w:ascii="Cambria" w:hAnsi="Cambria"/>
        </w:rPr>
        <w:t xml:space="preserve"> Enfoque en el turista cosmopolita y de mercados lejanos (mayor gasto).</w:t>
      </w:r>
    </w:p>
    <w:p w14:paraId="05D7278B" w14:textId="77777777" w:rsidR="00E86E74" w:rsidRPr="00776C5B" w:rsidRDefault="00E86E74" w:rsidP="00776C5B">
      <w:pPr>
        <w:numPr>
          <w:ilvl w:val="0"/>
          <w:numId w:val="1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Estrategia de Turismo Sostenible 2030:</w:t>
      </w:r>
      <w:r w:rsidRPr="00776C5B">
        <w:rPr>
          <w:rFonts w:ascii="Cambria" w:hAnsi="Cambria"/>
        </w:rPr>
        <w:t xml:space="preserve"> Tres pilares (socioeconómico, medioambiental, territorial). Alineado con ODS Agenda 2030.</w:t>
      </w:r>
    </w:p>
    <w:p w14:paraId="2A14B37F" w14:textId="212C70D1" w:rsidR="00E86E74" w:rsidRPr="00776C5B" w:rsidRDefault="00E86E74" w:rsidP="00776C5B">
      <w:pPr>
        <w:numPr>
          <w:ilvl w:val="0"/>
          <w:numId w:val="1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Estrategia de Sostenibilidad Turística en Destino:</w:t>
      </w:r>
      <w:r w:rsidRPr="00776C5B">
        <w:rPr>
          <w:rFonts w:ascii="Cambria" w:hAnsi="Cambria"/>
        </w:rPr>
        <w:t xml:space="preserve"> Enmarcada en fondo</w:t>
      </w:r>
      <w:r w:rsidR="00934789">
        <w:rPr>
          <w:rFonts w:ascii="Cambria" w:hAnsi="Cambria"/>
        </w:rPr>
        <w:t>s NGEU</w:t>
      </w:r>
      <w:r w:rsidRPr="00776C5B">
        <w:rPr>
          <w:rFonts w:ascii="Cambria" w:hAnsi="Cambria"/>
        </w:rPr>
        <w:t xml:space="preserve"> (1.900M€ inversión).</w:t>
      </w:r>
    </w:p>
    <w:p w14:paraId="7736EB38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Estadísticas (INE)</w:t>
      </w:r>
    </w:p>
    <w:p w14:paraId="10EACC9E" w14:textId="77777777" w:rsidR="00E86E74" w:rsidRPr="00776C5B" w:rsidRDefault="00E86E74" w:rsidP="00776C5B">
      <w:pPr>
        <w:numPr>
          <w:ilvl w:val="0"/>
          <w:numId w:val="16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FRONTUR:</w:t>
      </w:r>
      <w:r w:rsidRPr="00776C5B">
        <w:rPr>
          <w:rFonts w:ascii="Cambria" w:hAnsi="Cambria"/>
        </w:rPr>
        <w:t xml:space="preserve"> Flujos de entrada. 2023: 85,1 millones de turistas.</w:t>
      </w:r>
    </w:p>
    <w:p w14:paraId="1AB873E3" w14:textId="77777777" w:rsidR="00E86E74" w:rsidRPr="00776C5B" w:rsidRDefault="00E86E74" w:rsidP="00776C5B">
      <w:pPr>
        <w:numPr>
          <w:ilvl w:val="1"/>
          <w:numId w:val="16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Destinos principales: Cataluña, Baleares, Canarias, Andalucía.</w:t>
      </w:r>
    </w:p>
    <w:p w14:paraId="31427E91" w14:textId="77777777" w:rsidR="00E86E74" w:rsidRPr="00776C5B" w:rsidRDefault="00E86E74" w:rsidP="00776C5B">
      <w:pPr>
        <w:numPr>
          <w:ilvl w:val="0"/>
          <w:numId w:val="16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EGATUR:</w:t>
      </w:r>
      <w:r w:rsidRPr="00776C5B">
        <w:rPr>
          <w:rFonts w:ascii="Cambria" w:hAnsi="Cambria"/>
        </w:rPr>
        <w:t xml:space="preserve"> Gasto turístico.</w:t>
      </w:r>
    </w:p>
    <w:p w14:paraId="5E3113A4" w14:textId="2301D07A" w:rsidR="00E86E74" w:rsidRPr="00776C5B" w:rsidRDefault="00E86E74" w:rsidP="00776C5B">
      <w:pPr>
        <w:numPr>
          <w:ilvl w:val="1"/>
          <w:numId w:val="16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2023: Gasto total 108.662M€ (+18,2% vs 2019). Gasto medio/turista: 1.278€. Gasto diario: 175€.</w:t>
      </w:r>
    </w:p>
    <w:p w14:paraId="1BCB6D4C" w14:textId="77777777" w:rsidR="00E86E74" w:rsidRPr="00776C5B" w:rsidRDefault="00E86E74" w:rsidP="00776C5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76C5B">
        <w:rPr>
          <w:rFonts w:ascii="Cambria" w:hAnsi="Cambria"/>
          <w:b/>
          <w:bCs/>
          <w:color w:val="auto"/>
          <w:sz w:val="28"/>
          <w:szCs w:val="28"/>
        </w:rPr>
        <w:t>4. SECTOR DE LA CONSTRUCCIÓN</w:t>
      </w:r>
    </w:p>
    <w:p w14:paraId="662CB39B" w14:textId="3A3E72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4.1 Importancia y Características</w:t>
      </w:r>
    </w:p>
    <w:p w14:paraId="5BF32796" w14:textId="77777777" w:rsidR="00E86E74" w:rsidRPr="00776C5B" w:rsidRDefault="00E86E74" w:rsidP="00776C5B">
      <w:pPr>
        <w:numPr>
          <w:ilvl w:val="0"/>
          <w:numId w:val="17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Extrema sensibilidad al ciclo económico (motor o lastre).</w:t>
      </w:r>
    </w:p>
    <w:p w14:paraId="1A427D03" w14:textId="77777777" w:rsidR="00E86E74" w:rsidRPr="00934789" w:rsidRDefault="00E86E74" w:rsidP="00776C5B">
      <w:pPr>
        <w:numPr>
          <w:ilvl w:val="0"/>
          <w:numId w:val="17"/>
        </w:numPr>
        <w:jc w:val="both"/>
        <w:rPr>
          <w:rFonts w:ascii="Cambria" w:hAnsi="Cambria"/>
        </w:rPr>
      </w:pPr>
      <w:r w:rsidRPr="001E177D">
        <w:rPr>
          <w:rFonts w:ascii="Cambria" w:hAnsi="Cambria"/>
          <w:u w:val="single"/>
        </w:rPr>
        <w:t>Peso en PIB</w:t>
      </w:r>
      <w:r w:rsidRPr="00934789">
        <w:rPr>
          <w:rFonts w:ascii="Cambria" w:hAnsi="Cambria"/>
        </w:rPr>
        <w:t>: Caída del 10,4% (2006) al 5,0% (2023).</w:t>
      </w:r>
    </w:p>
    <w:p w14:paraId="03C29590" w14:textId="77777777" w:rsidR="00E86E74" w:rsidRPr="00934789" w:rsidRDefault="00E86E74" w:rsidP="00776C5B">
      <w:pPr>
        <w:numPr>
          <w:ilvl w:val="0"/>
          <w:numId w:val="17"/>
        </w:numPr>
        <w:jc w:val="both"/>
        <w:rPr>
          <w:rFonts w:ascii="Cambria" w:hAnsi="Cambria"/>
        </w:rPr>
      </w:pPr>
      <w:r w:rsidRPr="001E177D">
        <w:rPr>
          <w:rFonts w:ascii="Cambria" w:hAnsi="Cambria"/>
          <w:u w:val="single"/>
        </w:rPr>
        <w:t>Empleo</w:t>
      </w:r>
      <w:r w:rsidRPr="00934789">
        <w:rPr>
          <w:rFonts w:ascii="Cambria" w:hAnsi="Cambria"/>
        </w:rPr>
        <w:t>: Caída del 13,9% (2006) al 7,0% (2023).</w:t>
      </w:r>
    </w:p>
    <w:p w14:paraId="5AF07500" w14:textId="77777777" w:rsidR="00E86E74" w:rsidRPr="00776C5B" w:rsidRDefault="00E86E74" w:rsidP="00776C5B">
      <w:pPr>
        <w:numPr>
          <w:ilvl w:val="0"/>
          <w:numId w:val="17"/>
        </w:numPr>
        <w:jc w:val="both"/>
        <w:rPr>
          <w:rFonts w:ascii="Cambria" w:hAnsi="Cambria"/>
        </w:rPr>
      </w:pPr>
      <w:r w:rsidRPr="001E177D">
        <w:rPr>
          <w:rFonts w:ascii="Cambria" w:hAnsi="Cambria"/>
          <w:u w:val="single"/>
        </w:rPr>
        <w:t>Estructura dual</w:t>
      </w:r>
      <w:r w:rsidRPr="00776C5B">
        <w:rPr>
          <w:rFonts w:ascii="Cambria" w:hAnsi="Cambria"/>
        </w:rPr>
        <w:t>: Grandes grupos (ACS, Ferrovial, FCC) y muchas PYMES.</w:t>
      </w:r>
    </w:p>
    <w:p w14:paraId="55C569F9" w14:textId="77777777" w:rsidR="00E86E74" w:rsidRPr="00776C5B" w:rsidRDefault="00E86E74" w:rsidP="00776C5B">
      <w:pPr>
        <w:numPr>
          <w:ilvl w:val="0"/>
          <w:numId w:val="17"/>
        </w:numPr>
        <w:jc w:val="both"/>
        <w:rPr>
          <w:rFonts w:ascii="Cambria" w:hAnsi="Cambria"/>
        </w:rPr>
      </w:pPr>
      <w:r w:rsidRPr="001E177D">
        <w:rPr>
          <w:rFonts w:ascii="Cambria" w:hAnsi="Cambria"/>
          <w:u w:val="single"/>
        </w:rPr>
        <w:t>Empleo</w:t>
      </w:r>
      <w:r w:rsidRPr="00776C5B">
        <w:rPr>
          <w:rFonts w:ascii="Cambria" w:hAnsi="Cambria"/>
        </w:rPr>
        <w:t>: Alta temporalidad, escasa formación, alta siniestralidad. Escasez de mano de obra actual.</w:t>
      </w:r>
    </w:p>
    <w:p w14:paraId="117F61A8" w14:textId="77777777" w:rsidR="00E86E74" w:rsidRPr="00776C5B" w:rsidRDefault="00E86E74" w:rsidP="00776C5B">
      <w:pPr>
        <w:numPr>
          <w:ilvl w:val="0"/>
          <w:numId w:val="17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lastRenderedPageBreak/>
        <w:t>Arrastre industrial: Clave para sector de minerales no metálicos (cemento, cerámica - España líder mundial en tejas/ladrillos).</w:t>
      </w:r>
    </w:p>
    <w:p w14:paraId="5ED22898" w14:textId="1C8D58A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 xml:space="preserve">4.2 Situación Reciente y Perspectivas (Informe </w:t>
      </w:r>
      <w:proofErr w:type="spellStart"/>
      <w:r w:rsidRPr="00776C5B">
        <w:rPr>
          <w:rFonts w:ascii="Cambria" w:hAnsi="Cambria"/>
          <w:b/>
          <w:bCs/>
          <w:color w:val="auto"/>
          <w:sz w:val="24"/>
          <w:szCs w:val="24"/>
        </w:rPr>
        <w:t>Euroconstruct</w:t>
      </w:r>
      <w:proofErr w:type="spellEnd"/>
      <w:r w:rsidRPr="00776C5B">
        <w:rPr>
          <w:rFonts w:ascii="Cambria" w:hAnsi="Cambria"/>
          <w:b/>
          <w:bCs/>
          <w:color w:val="auto"/>
          <w:sz w:val="24"/>
          <w:szCs w:val="24"/>
        </w:rPr>
        <w:t>)</w:t>
      </w:r>
    </w:p>
    <w:p w14:paraId="3F6C42C2" w14:textId="524BFE55" w:rsidR="00E86E74" w:rsidRPr="00776C5B" w:rsidRDefault="00E86E74" w:rsidP="00776C5B">
      <w:pPr>
        <w:numPr>
          <w:ilvl w:val="0"/>
          <w:numId w:val="18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2023:</w:t>
      </w:r>
      <w:r w:rsidRPr="00776C5B">
        <w:rPr>
          <w:rFonts w:ascii="Cambria" w:hAnsi="Cambria"/>
        </w:rPr>
        <w:t xml:space="preserve"> Crecimiento del 2,8% (recuperación postpandemia completada).</w:t>
      </w:r>
    </w:p>
    <w:p w14:paraId="3749E9C3" w14:textId="0C894EE9" w:rsidR="00E86E74" w:rsidRPr="00776C5B" w:rsidRDefault="00E86E74" w:rsidP="00776C5B">
      <w:pPr>
        <w:numPr>
          <w:ilvl w:val="0"/>
          <w:numId w:val="18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2024-2025:</w:t>
      </w:r>
      <w:r w:rsidRPr="00776C5B">
        <w:rPr>
          <w:rFonts w:ascii="Cambria" w:hAnsi="Cambria"/>
        </w:rPr>
        <w:t xml:space="preserve"> Previsiones de crecimiento tibio (1,2% - 1,4%). Dependencia de fondos </w:t>
      </w:r>
      <w:r w:rsidR="00934789" w:rsidRPr="00934789">
        <w:rPr>
          <w:rFonts w:ascii="Cambria" w:hAnsi="Cambria"/>
        </w:rPr>
        <w:t>NG</w:t>
      </w:r>
      <w:r w:rsidR="00934789">
        <w:rPr>
          <w:rFonts w:ascii="Cambria" w:hAnsi="Cambria"/>
        </w:rPr>
        <w:t>EU</w:t>
      </w:r>
      <w:r w:rsidRPr="00776C5B">
        <w:rPr>
          <w:rFonts w:ascii="Cambria" w:hAnsi="Cambria"/>
        </w:rPr>
        <w:t>.</w:t>
      </w:r>
    </w:p>
    <w:p w14:paraId="2999BD26" w14:textId="77777777" w:rsidR="00E86E74" w:rsidRPr="00776C5B" w:rsidRDefault="00E86E74" w:rsidP="00776C5B">
      <w:pPr>
        <w:numPr>
          <w:ilvl w:val="0"/>
          <w:numId w:val="18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Problemas latentes:</w:t>
      </w:r>
      <w:r w:rsidRPr="00776C5B">
        <w:rPr>
          <w:rFonts w:ascii="Cambria" w:hAnsi="Cambria"/>
        </w:rPr>
        <w:t xml:space="preserve"> Escasez de mano de obra, altos costes de suministros/energía/crédito.</w:t>
      </w:r>
    </w:p>
    <w:p w14:paraId="09FA3672" w14:textId="77777777" w:rsidR="00E86E74" w:rsidRPr="00776C5B" w:rsidRDefault="00E86E74" w:rsidP="00776C5B">
      <w:pPr>
        <w:numPr>
          <w:ilvl w:val="0"/>
          <w:numId w:val="18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Mercado Inmobiliario:</w:t>
      </w:r>
      <w:r w:rsidRPr="00776C5B">
        <w:rPr>
          <w:rFonts w:ascii="Cambria" w:hAnsi="Cambria"/>
        </w:rPr>
        <w:t xml:space="preserve"> No hay exceso de stock grave (447.691 viviendas a enero 2024).</w:t>
      </w:r>
    </w:p>
    <w:p w14:paraId="5F076C82" w14:textId="1F0B74DA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4.3 Análisis por Subsectores</w:t>
      </w:r>
    </w:p>
    <w:p w14:paraId="3ADAA0CD" w14:textId="11F821D2" w:rsidR="00E86E74" w:rsidRPr="00776C5B" w:rsidRDefault="00E86E74" w:rsidP="00776C5B">
      <w:pPr>
        <w:numPr>
          <w:ilvl w:val="0"/>
          <w:numId w:val="1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Edificación Residencial:</w:t>
      </w:r>
      <w:r w:rsidRPr="00776C5B">
        <w:rPr>
          <w:rFonts w:ascii="Cambria" w:hAnsi="Cambria"/>
        </w:rPr>
        <w:t xml:space="preserve"> Situación ambigua. Caen compraventas, pero precios resisten (oferta escasa). Producción estancada prevista para 2023-2025. Incertidumbre por la Ley de Vivienda y tipos de interés.</w:t>
      </w:r>
    </w:p>
    <w:p w14:paraId="7057AFB0" w14:textId="77777777" w:rsidR="00E86E74" w:rsidRPr="00776C5B" w:rsidRDefault="00E86E74" w:rsidP="00776C5B">
      <w:pPr>
        <w:numPr>
          <w:ilvl w:val="0"/>
          <w:numId w:val="1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Edificación No Residencial:</w:t>
      </w:r>
      <w:r w:rsidRPr="00776C5B">
        <w:rPr>
          <w:rFonts w:ascii="Cambria" w:hAnsi="Cambria"/>
        </w:rPr>
        <w:t xml:space="preserve"> Prudencia, selección rigurosa de proyectos. Logística con riesgo de sobreexplotación.</w:t>
      </w:r>
    </w:p>
    <w:p w14:paraId="6EFBDD42" w14:textId="77777777" w:rsidR="00E86E74" w:rsidRPr="00776C5B" w:rsidRDefault="00E86E74" w:rsidP="00776C5B">
      <w:pPr>
        <w:numPr>
          <w:ilvl w:val="0"/>
          <w:numId w:val="1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Rehabilitación:</w:t>
      </w:r>
      <w:r w:rsidRPr="00776C5B">
        <w:rPr>
          <w:rFonts w:ascii="Cambria" w:hAnsi="Cambria"/>
        </w:rPr>
        <w:t xml:space="preserve"> Expectativas del programa PREE no cumplidas totalmente. Riesgo de retracción al agotarse subvenciones.</w:t>
      </w:r>
    </w:p>
    <w:p w14:paraId="4F642396" w14:textId="77777777" w:rsidR="00E86E74" w:rsidRPr="00776C5B" w:rsidRDefault="00E86E74" w:rsidP="00776C5B">
      <w:pPr>
        <w:numPr>
          <w:ilvl w:val="0"/>
          <w:numId w:val="19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Ingeniería Civil:</w:t>
      </w:r>
      <w:r w:rsidRPr="00776C5B">
        <w:rPr>
          <w:rFonts w:ascii="Cambria" w:hAnsi="Cambria"/>
        </w:rPr>
        <w:t xml:space="preserve"> Segmento más beneficiado por fondos NGEU. Crecimiento expansivo en 2023 (7%), relajándose después. Riesgo de no ejecutar a tiempo los fondos.</w:t>
      </w:r>
    </w:p>
    <w:p w14:paraId="4FB62003" w14:textId="7EFC9456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4.4 Comercio Exterior</w:t>
      </w:r>
    </w:p>
    <w:p w14:paraId="18F6E9DC" w14:textId="77777777" w:rsidR="00E86E74" w:rsidRPr="00776C5B" w:rsidRDefault="00E86E74" w:rsidP="00776C5B">
      <w:pPr>
        <w:numPr>
          <w:ilvl w:val="0"/>
          <w:numId w:val="2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Tradicionalmente cerrado, apertura mediante licitaciones internacionales (Acuerdo Contratación Pública).</w:t>
      </w:r>
    </w:p>
    <w:p w14:paraId="53765D6F" w14:textId="77777777" w:rsidR="00E86E74" w:rsidRPr="00776C5B" w:rsidRDefault="00E86E74" w:rsidP="00776C5B">
      <w:pPr>
        <w:numPr>
          <w:ilvl w:val="0"/>
          <w:numId w:val="20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Grandes éxitos de empresas españolas en el exterior (Canal de Panamá, Metro Riad/Montreal/Copenhague).</w:t>
      </w:r>
    </w:p>
    <w:p w14:paraId="7EEB5438" w14:textId="7AC28CF9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 xml:space="preserve">4.5 Subsector Infraestructuras </w:t>
      </w:r>
    </w:p>
    <w:p w14:paraId="250AF3F0" w14:textId="77777777" w:rsidR="00E86E74" w:rsidRPr="00776C5B" w:rsidRDefault="00E86E74" w:rsidP="00776C5B">
      <w:pPr>
        <w:numPr>
          <w:ilvl w:val="0"/>
          <w:numId w:val="21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Déficit histórico y estructura radial.</w:t>
      </w:r>
    </w:p>
    <w:p w14:paraId="303D00F3" w14:textId="77777777" w:rsidR="00E86E74" w:rsidRPr="00776C5B" w:rsidRDefault="00E86E74" w:rsidP="00776C5B">
      <w:pPr>
        <w:numPr>
          <w:ilvl w:val="0"/>
          <w:numId w:val="21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PEIT 2005-2020:</w:t>
      </w:r>
      <w:r w:rsidRPr="00776C5B">
        <w:rPr>
          <w:rFonts w:ascii="Cambria" w:hAnsi="Cambria"/>
        </w:rPr>
        <w:t xml:space="preserve"> Objetivo de red mallada. Fuerte inversión en ferrocarril (Alta Velocidad).</w:t>
      </w:r>
    </w:p>
    <w:p w14:paraId="340B2F0C" w14:textId="1B33A5F5" w:rsidR="00E86E74" w:rsidRPr="00776C5B" w:rsidRDefault="00E86E74" w:rsidP="00776C5B">
      <w:pPr>
        <w:numPr>
          <w:ilvl w:val="0"/>
          <w:numId w:val="21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PITVI 2012-2024:</w:t>
      </w:r>
      <w:r w:rsidRPr="00776C5B">
        <w:rPr>
          <w:rFonts w:ascii="Cambria" w:hAnsi="Cambria"/>
        </w:rPr>
        <w:t xml:space="preserve"> Enfoque en eficiencia, sostenibilidad y conexión con Red Transeuropea.</w:t>
      </w:r>
    </w:p>
    <w:p w14:paraId="2C18AD49" w14:textId="77777777" w:rsidR="00E86E74" w:rsidRPr="00776C5B" w:rsidRDefault="00E86E74" w:rsidP="00776C5B">
      <w:pPr>
        <w:jc w:val="both"/>
        <w:rPr>
          <w:rFonts w:ascii="Cambria" w:hAnsi="Cambria"/>
          <w:b/>
          <w:bCs/>
        </w:rPr>
      </w:pPr>
      <w:r w:rsidRPr="00776C5B">
        <w:rPr>
          <w:rFonts w:ascii="Cambria" w:hAnsi="Cambria"/>
          <w:b/>
          <w:bCs/>
        </w:rPr>
        <w:t>5. POLÍTICA DE LA VIVIENDA ESPAÑOLA</w:t>
      </w:r>
    </w:p>
    <w:p w14:paraId="49BC9FC3" w14:textId="77777777" w:rsidR="00E86E74" w:rsidRPr="00776C5B" w:rsidRDefault="00E86E74" w:rsidP="00776C5B">
      <w:pPr>
        <w:jc w:val="both"/>
        <w:rPr>
          <w:rFonts w:ascii="Cambria" w:hAnsi="Cambria"/>
          <w:u w:val="single"/>
        </w:rPr>
      </w:pPr>
      <w:r w:rsidRPr="00776C5B">
        <w:rPr>
          <w:rFonts w:ascii="Cambria" w:hAnsi="Cambria"/>
          <w:b/>
          <w:bCs/>
          <w:u w:val="single"/>
        </w:rPr>
        <w:t>Contexto</w:t>
      </w:r>
    </w:p>
    <w:p w14:paraId="6449D84D" w14:textId="77777777" w:rsidR="00E86E74" w:rsidRPr="00776C5B" w:rsidRDefault="00E86E74" w:rsidP="00776C5B">
      <w:pPr>
        <w:numPr>
          <w:ilvl w:val="0"/>
          <w:numId w:val="22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lastRenderedPageBreak/>
        <w:t>Alto porcentaje de propiedad (87% vs 65% media UE).</w:t>
      </w:r>
    </w:p>
    <w:p w14:paraId="7FFBE15A" w14:textId="77777777" w:rsidR="00E86E74" w:rsidRPr="00776C5B" w:rsidRDefault="00E86E74" w:rsidP="00776C5B">
      <w:pPr>
        <w:numPr>
          <w:ilvl w:val="0"/>
          <w:numId w:val="22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Burbuja inmobiliaria (1997-2007): Precios se triplicaron. Estallido en 2008 con fuerte endeudamiento familiar.</w:t>
      </w:r>
    </w:p>
    <w:p w14:paraId="7D0142A9" w14:textId="77777777" w:rsidR="00E86E74" w:rsidRPr="00776C5B" w:rsidRDefault="00E86E74" w:rsidP="00776C5B">
      <w:pPr>
        <w:numPr>
          <w:ilvl w:val="0"/>
          <w:numId w:val="22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Preferencia por compra debido a regulación histórica del alquiler.</w:t>
      </w:r>
    </w:p>
    <w:p w14:paraId="34674F19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5.1 Evolución Legislativa del Alquiler</w:t>
      </w:r>
    </w:p>
    <w:p w14:paraId="7A5235BD" w14:textId="77777777" w:rsidR="00E86E74" w:rsidRPr="00776C5B" w:rsidRDefault="00E86E74" w:rsidP="00776C5B">
      <w:pPr>
        <w:numPr>
          <w:ilvl w:val="0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Decreto Boyer (1985):</w:t>
      </w:r>
      <w:r w:rsidRPr="00776C5B">
        <w:rPr>
          <w:rFonts w:ascii="Cambria" w:hAnsi="Cambria"/>
        </w:rPr>
        <w:t xml:space="preserve"> Liberalización para nuevos contratos (fin prórroga forzosa).</w:t>
      </w:r>
    </w:p>
    <w:p w14:paraId="3EE494B0" w14:textId="77777777" w:rsidR="00E86E74" w:rsidRPr="00776C5B" w:rsidRDefault="00E86E74" w:rsidP="00776C5B">
      <w:pPr>
        <w:numPr>
          <w:ilvl w:val="0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LAU 29/1994:</w:t>
      </w:r>
      <w:r w:rsidRPr="00776C5B">
        <w:rPr>
          <w:rFonts w:ascii="Cambria" w:hAnsi="Cambria"/>
        </w:rPr>
        <w:t xml:space="preserve"> Plazo mínimo 5 años.</w:t>
      </w:r>
    </w:p>
    <w:p w14:paraId="6228F5AF" w14:textId="77777777" w:rsidR="00E86E74" w:rsidRPr="00776C5B" w:rsidRDefault="00E86E74" w:rsidP="00776C5B">
      <w:pPr>
        <w:numPr>
          <w:ilvl w:val="0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Ley 4/2013 (Flexibilización):</w:t>
      </w:r>
    </w:p>
    <w:p w14:paraId="58661AEE" w14:textId="77777777" w:rsidR="00E86E74" w:rsidRPr="00776C5B" w:rsidRDefault="00E86E74" w:rsidP="00776C5B">
      <w:pPr>
        <w:numPr>
          <w:ilvl w:val="1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Reducción prórroga obligatoria de 5 a 3 años.</w:t>
      </w:r>
    </w:p>
    <w:p w14:paraId="60240CED" w14:textId="77777777" w:rsidR="00E86E74" w:rsidRPr="00776C5B" w:rsidRDefault="00E86E74" w:rsidP="00776C5B">
      <w:pPr>
        <w:numPr>
          <w:ilvl w:val="1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Facilidad para recuperar vivienda por el arrendador.</w:t>
      </w:r>
    </w:p>
    <w:p w14:paraId="6210D296" w14:textId="77777777" w:rsidR="00E86E74" w:rsidRPr="00776C5B" w:rsidRDefault="00E86E74" w:rsidP="00776C5B">
      <w:pPr>
        <w:numPr>
          <w:ilvl w:val="1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Desistimiento del arrendatario a los 6 meses.</w:t>
      </w:r>
    </w:p>
    <w:p w14:paraId="3A6BB350" w14:textId="77777777" w:rsidR="00E86E74" w:rsidRPr="00776C5B" w:rsidRDefault="00E86E74" w:rsidP="00776C5B">
      <w:pPr>
        <w:numPr>
          <w:ilvl w:val="0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RDL 7/2019:</w:t>
      </w:r>
      <w:r w:rsidRPr="00776C5B">
        <w:rPr>
          <w:rFonts w:ascii="Cambria" w:hAnsi="Cambria"/>
        </w:rPr>
        <w:t xml:space="preserve"> Vuelta a mayor protección. Prórroga obligatoria de 5 años (física) o 7 años (jurídica).</w:t>
      </w:r>
    </w:p>
    <w:p w14:paraId="50CAD057" w14:textId="492F623E" w:rsidR="00E86E74" w:rsidRPr="00776C5B" w:rsidRDefault="00E86E74" w:rsidP="00776C5B">
      <w:pPr>
        <w:numPr>
          <w:ilvl w:val="0"/>
          <w:numId w:val="23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Limitación actualización rentas (2022):</w:t>
      </w:r>
      <w:r w:rsidRPr="00776C5B">
        <w:rPr>
          <w:rFonts w:ascii="Cambria" w:hAnsi="Cambria"/>
        </w:rPr>
        <w:t xml:space="preserve"> Tope al IG</w:t>
      </w:r>
      <w:r w:rsidR="006644EA">
        <w:rPr>
          <w:rFonts w:ascii="Cambria" w:hAnsi="Cambria"/>
        </w:rPr>
        <w:t>C (</w:t>
      </w:r>
      <w:r w:rsidRPr="00776C5B">
        <w:rPr>
          <w:rFonts w:ascii="Cambria" w:hAnsi="Cambria"/>
        </w:rPr>
        <w:t>guerra Ucrania/inflación).</w:t>
      </w:r>
    </w:p>
    <w:p w14:paraId="0FA77000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5.2 Ley 12/2023 por el Derecho a la Vivienda</w:t>
      </w:r>
    </w:p>
    <w:p w14:paraId="25807409" w14:textId="77777777" w:rsidR="00E86E74" w:rsidRPr="00776C5B" w:rsidRDefault="00E86E74" w:rsidP="00776C5B">
      <w:pPr>
        <w:jc w:val="both"/>
        <w:rPr>
          <w:rFonts w:ascii="Cambria" w:hAnsi="Cambria"/>
        </w:rPr>
      </w:pPr>
      <w:r w:rsidRPr="00776C5B">
        <w:rPr>
          <w:rFonts w:ascii="Cambria" w:hAnsi="Cambria"/>
        </w:rPr>
        <w:t>Primera ley estatal de vivienda de la democracia. Claves:</w:t>
      </w:r>
    </w:p>
    <w:p w14:paraId="4BF05469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Reserva de suelo:</w:t>
      </w:r>
      <w:r w:rsidRPr="00776C5B">
        <w:rPr>
          <w:rFonts w:ascii="Cambria" w:hAnsi="Cambria"/>
        </w:rPr>
        <w:t xml:space="preserve"> 30% en nuevas promociones para parque público (mitad para alquiler social).</w:t>
      </w:r>
    </w:p>
    <w:p w14:paraId="5DE3237F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Incentivos fiscales (IRPF):</w:t>
      </w:r>
      <w:r w:rsidRPr="00776C5B">
        <w:rPr>
          <w:rFonts w:ascii="Cambria" w:hAnsi="Cambria"/>
        </w:rPr>
        <w:t xml:space="preserve"> Bonificaciones a pequeños propietarios (hasta 90%) si bajan precios en zonas tensionadas, alquilan a jóvenes o rehabilitan.</w:t>
      </w:r>
    </w:p>
    <w:p w14:paraId="6DD5B9CB" w14:textId="2DA341D5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Impuesto viviendas vacías:</w:t>
      </w:r>
      <w:r w:rsidRPr="00776C5B">
        <w:rPr>
          <w:rFonts w:ascii="Cambria" w:hAnsi="Cambria"/>
        </w:rPr>
        <w:t xml:space="preserve"> Recargo del IBI hasta 150%</w:t>
      </w:r>
      <w:r w:rsidR="006644EA">
        <w:rPr>
          <w:rFonts w:ascii="Cambria" w:hAnsi="Cambria"/>
        </w:rPr>
        <w:t>.</w:t>
      </w:r>
    </w:p>
    <w:p w14:paraId="3B4587D9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Grandes Propietarios:</w:t>
      </w:r>
      <w:r w:rsidRPr="00776C5B">
        <w:rPr>
          <w:rFonts w:ascii="Cambria" w:hAnsi="Cambria"/>
        </w:rPr>
        <w:t xml:space="preserve"> Definidos como titulares de &gt;10 inmuebles (o 5 en zonas tensionadas). Limitación de precios al índice de referencia en zonas tensionadas.</w:t>
      </w:r>
    </w:p>
    <w:p w14:paraId="75796745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Bono Alquiler Joven:</w:t>
      </w:r>
      <w:r w:rsidRPr="00776C5B">
        <w:rPr>
          <w:rFonts w:ascii="Cambria" w:hAnsi="Cambria"/>
        </w:rPr>
        <w:t xml:space="preserve"> 250€/mes (18-35 años, rentas bajas).</w:t>
      </w:r>
    </w:p>
    <w:p w14:paraId="4D7BC14B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Desahucios:</w:t>
      </w:r>
      <w:r w:rsidRPr="00776C5B">
        <w:rPr>
          <w:rFonts w:ascii="Cambria" w:hAnsi="Cambria"/>
        </w:rPr>
        <w:t xml:space="preserve"> Prohibición sin fecha predeterminada, prórrogas para vulnerables, intermediación obligatoria.</w:t>
      </w:r>
    </w:p>
    <w:p w14:paraId="1FB34492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Zonas de Mercado Tensionado:</w:t>
      </w:r>
      <w:r w:rsidRPr="00776C5B">
        <w:rPr>
          <w:rFonts w:ascii="Cambria" w:hAnsi="Cambria"/>
        </w:rPr>
        <w:t xml:space="preserve"> Declaración por CCAA (si carga hipoteca/alquiler &gt;30% ingresos o precios suben &gt;3 puntos sobre IPC). Tope de precios y prórrogas forzosas.</w:t>
      </w:r>
    </w:p>
    <w:p w14:paraId="3B5A6537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lastRenderedPageBreak/>
        <w:t>Vivienda Asequible Incentivada:</w:t>
      </w:r>
      <w:r w:rsidRPr="00776C5B">
        <w:rPr>
          <w:rFonts w:ascii="Cambria" w:hAnsi="Cambria"/>
        </w:rPr>
        <w:t xml:space="preserve"> Beneficios a privados a cambio de alquileres reducidos.</w:t>
      </w:r>
    </w:p>
    <w:p w14:paraId="15E9B019" w14:textId="714C8F0B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Parque Público:</w:t>
      </w:r>
      <w:r w:rsidRPr="00776C5B">
        <w:rPr>
          <w:rFonts w:ascii="Cambria" w:hAnsi="Cambria"/>
        </w:rPr>
        <w:t xml:space="preserve"> Protección permanente, no se puede descalificar</w:t>
      </w:r>
      <w:r w:rsidR="006644EA">
        <w:rPr>
          <w:rFonts w:ascii="Cambria" w:hAnsi="Cambria"/>
        </w:rPr>
        <w:t xml:space="preserve"> </w:t>
      </w:r>
      <w:r w:rsidRPr="00776C5B">
        <w:rPr>
          <w:rFonts w:ascii="Cambria" w:hAnsi="Cambria"/>
        </w:rPr>
        <w:t>en menos de 30 años.</w:t>
      </w:r>
    </w:p>
    <w:p w14:paraId="41155CA4" w14:textId="77777777" w:rsidR="00E86E74" w:rsidRPr="00776C5B" w:rsidRDefault="00E86E74" w:rsidP="00776C5B">
      <w:pPr>
        <w:numPr>
          <w:ilvl w:val="0"/>
          <w:numId w:val="24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Definición de Vivienda Digna:</w:t>
      </w:r>
      <w:r w:rsidRPr="00776C5B">
        <w:rPr>
          <w:rFonts w:ascii="Cambria" w:hAnsi="Cambria"/>
        </w:rPr>
        <w:t xml:space="preserve"> Habitable, accesible, eficiente y con suministros garantizados.</w:t>
      </w:r>
    </w:p>
    <w:p w14:paraId="6B8FC3D6" w14:textId="77777777" w:rsidR="00E86E74" w:rsidRPr="00776C5B" w:rsidRDefault="00E86E74" w:rsidP="00776C5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76C5B">
        <w:rPr>
          <w:rFonts w:ascii="Cambria" w:hAnsi="Cambria"/>
          <w:b/>
          <w:bCs/>
          <w:color w:val="auto"/>
          <w:sz w:val="24"/>
          <w:szCs w:val="24"/>
        </w:rPr>
        <w:t>5.3 Planes Estatales y Otras Medidas</w:t>
      </w:r>
    </w:p>
    <w:p w14:paraId="0558D4CB" w14:textId="77777777" w:rsidR="00E86E74" w:rsidRPr="00776C5B" w:rsidRDefault="00E86E74" w:rsidP="00776C5B">
      <w:pPr>
        <w:numPr>
          <w:ilvl w:val="0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Plan Estatal de Acceso a la Vivienda 2022-2025:</w:t>
      </w:r>
    </w:p>
    <w:p w14:paraId="3BE82086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6644EA">
        <w:rPr>
          <w:rFonts w:ascii="Cambria" w:hAnsi="Cambria"/>
          <w:u w:val="single"/>
        </w:rPr>
        <w:t>Objetivos corto plazo</w:t>
      </w:r>
      <w:r w:rsidRPr="00776C5B">
        <w:rPr>
          <w:rFonts w:ascii="Cambria" w:hAnsi="Cambria"/>
        </w:rPr>
        <w:t>: Ayudas directas alquiler, vulnerables (violencia género, desahucios), jóvenes.</w:t>
      </w:r>
    </w:p>
    <w:p w14:paraId="53349809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6644EA">
        <w:rPr>
          <w:rFonts w:ascii="Cambria" w:hAnsi="Cambria"/>
          <w:u w:val="single"/>
        </w:rPr>
        <w:t>Objetivos medio plazo</w:t>
      </w:r>
      <w:r w:rsidRPr="00776C5B">
        <w:rPr>
          <w:rFonts w:ascii="Cambria" w:hAnsi="Cambria"/>
        </w:rPr>
        <w:t xml:space="preserve">: Incremento parque público, </w:t>
      </w:r>
      <w:proofErr w:type="spellStart"/>
      <w:r w:rsidRPr="00776C5B">
        <w:rPr>
          <w:rFonts w:ascii="Cambria" w:hAnsi="Cambria"/>
          <w:i/>
          <w:iCs/>
        </w:rPr>
        <w:t>cohousing</w:t>
      </w:r>
      <w:proofErr w:type="spellEnd"/>
      <w:r w:rsidRPr="00776C5B">
        <w:rPr>
          <w:rFonts w:ascii="Cambria" w:hAnsi="Cambria"/>
        </w:rPr>
        <w:t>, viviendas SAREB, alojamientos temporales.</w:t>
      </w:r>
    </w:p>
    <w:p w14:paraId="23B96591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Estructurado en 13 programas.</w:t>
      </w:r>
    </w:p>
    <w:p w14:paraId="1A7A2C6B" w14:textId="48DC23EE" w:rsidR="00E86E74" w:rsidRPr="00776C5B" w:rsidRDefault="00E86E74" w:rsidP="00776C5B">
      <w:pPr>
        <w:numPr>
          <w:ilvl w:val="0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 xml:space="preserve">Medidas Fiscales </w:t>
      </w:r>
      <w:r w:rsidR="00776C5B">
        <w:rPr>
          <w:rFonts w:ascii="Cambria" w:hAnsi="Cambria"/>
          <w:b/>
          <w:bCs/>
        </w:rPr>
        <w:t>recientes</w:t>
      </w:r>
      <w:r w:rsidRPr="00776C5B">
        <w:rPr>
          <w:rFonts w:ascii="Cambria" w:hAnsi="Cambria"/>
          <w:b/>
          <w:bCs/>
        </w:rPr>
        <w:t>:</w:t>
      </w:r>
    </w:p>
    <w:p w14:paraId="5C06B5F3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Eliminación deducción por compra (desde 2013).</w:t>
      </w:r>
    </w:p>
    <w:p w14:paraId="087F0425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Supresión deducción estatal por alquiler (desde 2015).</w:t>
      </w:r>
    </w:p>
    <w:p w14:paraId="0BCEC341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Reducción exención arrendadores en IRPF (del 60% al 50%).</w:t>
      </w:r>
    </w:p>
    <w:p w14:paraId="162556DA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Dación en pago exenta de plusvalía (IRPF).</w:t>
      </w:r>
    </w:p>
    <w:p w14:paraId="3181B28D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</w:rPr>
        <w:t>SOCIMI: Tributación elevada al 15% (antes 0%).</w:t>
      </w:r>
    </w:p>
    <w:p w14:paraId="57AB9E64" w14:textId="77777777" w:rsidR="00E86E74" w:rsidRPr="00776C5B" w:rsidRDefault="00E86E74" w:rsidP="00776C5B">
      <w:pPr>
        <w:numPr>
          <w:ilvl w:val="0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Regulación de Suelo:</w:t>
      </w:r>
    </w:p>
    <w:p w14:paraId="6DE853FE" w14:textId="77777777" w:rsidR="00E86E74" w:rsidRPr="00776C5B" w:rsidRDefault="00E86E74" w:rsidP="00776C5B">
      <w:pPr>
        <w:numPr>
          <w:ilvl w:val="1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SEPES:</w:t>
      </w:r>
      <w:r w:rsidRPr="00776C5B">
        <w:rPr>
          <w:rFonts w:ascii="Cambria" w:hAnsi="Cambria"/>
        </w:rPr>
        <w:t xml:space="preserve"> Entidad pública para urbanizar suelo residencial/industrial. Nueva empresa pública de vivienda arrancará con activos de SEPES.</w:t>
      </w:r>
    </w:p>
    <w:p w14:paraId="04EB262C" w14:textId="77777777" w:rsidR="00E86E74" w:rsidRPr="00776C5B" w:rsidRDefault="00E86E74" w:rsidP="00776C5B">
      <w:pPr>
        <w:numPr>
          <w:ilvl w:val="0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Fondo Social de Viviendas (FSV):</w:t>
      </w:r>
      <w:r w:rsidRPr="00776C5B">
        <w:rPr>
          <w:rFonts w:ascii="Cambria" w:hAnsi="Cambria"/>
        </w:rPr>
        <w:t xml:space="preserve"> Creado en 2013 con viviendas de entidades financieras para desahuciados. Prorrogado hasta 2025.</w:t>
      </w:r>
    </w:p>
    <w:p w14:paraId="4C2412DE" w14:textId="5BFDA61A" w:rsidR="00E86E74" w:rsidRPr="00776C5B" w:rsidRDefault="00E86E74" w:rsidP="00776C5B">
      <w:pPr>
        <w:numPr>
          <w:ilvl w:val="0"/>
          <w:numId w:val="25"/>
        </w:numPr>
        <w:jc w:val="both"/>
        <w:rPr>
          <w:rFonts w:ascii="Cambria" w:hAnsi="Cambria"/>
        </w:rPr>
      </w:pPr>
      <w:r w:rsidRPr="00776C5B">
        <w:rPr>
          <w:rFonts w:ascii="Cambria" w:hAnsi="Cambria"/>
          <w:b/>
          <w:bCs/>
        </w:rPr>
        <w:t>SAREB:</w:t>
      </w:r>
      <w:r w:rsidRPr="00776C5B">
        <w:rPr>
          <w:rFonts w:ascii="Cambria" w:hAnsi="Cambria"/>
        </w:rPr>
        <w:t xml:space="preserve"> Gestión de activos tóxicos de entidades nacionalizadas. Protocolos para ceder viviendas para alquiler social (objetivo 50.000 inmuebles en parque público).</w:t>
      </w:r>
    </w:p>
    <w:p w14:paraId="187FB9D1" w14:textId="77777777" w:rsidR="00A65383" w:rsidRPr="00776C5B" w:rsidRDefault="00A65383" w:rsidP="00776C5B">
      <w:pPr>
        <w:jc w:val="both"/>
        <w:rPr>
          <w:rFonts w:ascii="Cambria" w:hAnsi="Cambria"/>
        </w:rPr>
      </w:pPr>
    </w:p>
    <w:sectPr w:rsidR="00A65383" w:rsidRPr="00776C5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3D70" w14:textId="77777777" w:rsidR="00E86E74" w:rsidRDefault="00E86E74" w:rsidP="00E86E74">
      <w:pPr>
        <w:spacing w:after="0" w:line="240" w:lineRule="auto"/>
      </w:pPr>
      <w:r>
        <w:separator/>
      </w:r>
    </w:p>
  </w:endnote>
  <w:endnote w:type="continuationSeparator" w:id="0">
    <w:p w14:paraId="672C3178" w14:textId="77777777" w:rsidR="00E86E74" w:rsidRDefault="00E86E74" w:rsidP="00E8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5A01" w14:textId="77777777" w:rsidR="00E86E74" w:rsidRDefault="00E86E74" w:rsidP="00E86E74">
      <w:pPr>
        <w:spacing w:after="0" w:line="240" w:lineRule="auto"/>
      </w:pPr>
      <w:r>
        <w:separator/>
      </w:r>
    </w:p>
  </w:footnote>
  <w:footnote w:type="continuationSeparator" w:id="0">
    <w:p w14:paraId="2E321BCB" w14:textId="77777777" w:rsidR="00E86E74" w:rsidRDefault="00E86E74" w:rsidP="00E86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48918" w14:textId="5E2A523C" w:rsidR="00E86E74" w:rsidRPr="00E86E74" w:rsidRDefault="00E86E74" w:rsidP="00E86E74">
    <w:pPr>
      <w:pStyle w:val="Encabezado"/>
      <w:jc w:val="both"/>
      <w:rPr>
        <w:rFonts w:ascii="Palatino Linotype" w:hAnsi="Palatino Linotype"/>
        <w:i/>
        <w:iCs/>
      </w:rPr>
    </w:pPr>
    <w:r w:rsidRPr="00E86E74">
      <w:rPr>
        <w:rFonts w:ascii="Palatino Linotype" w:hAnsi="Palatino Linotype"/>
        <w:b/>
        <w:bCs/>
        <w:i/>
        <w:iCs/>
      </w:rPr>
      <w:t>TEMA 14 -</w:t>
    </w:r>
    <w:r w:rsidRPr="00E86E74">
      <w:rPr>
        <w:rFonts w:ascii="Palatino Linotype" w:hAnsi="Palatino Linotype"/>
        <w:i/>
        <w:iCs/>
      </w:rPr>
      <w:t xml:space="preserve"> El sector servicios en España. El sector de la construcción y la política de la vivienda española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512"/>
    <w:multiLevelType w:val="multilevel"/>
    <w:tmpl w:val="98E8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7E6"/>
    <w:multiLevelType w:val="multilevel"/>
    <w:tmpl w:val="78F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4878"/>
    <w:multiLevelType w:val="multilevel"/>
    <w:tmpl w:val="EDA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5F5E"/>
    <w:multiLevelType w:val="multilevel"/>
    <w:tmpl w:val="C7C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A2BF7"/>
    <w:multiLevelType w:val="multilevel"/>
    <w:tmpl w:val="962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742F5"/>
    <w:multiLevelType w:val="multilevel"/>
    <w:tmpl w:val="07CA4B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37613CA0"/>
    <w:multiLevelType w:val="multilevel"/>
    <w:tmpl w:val="FEDC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4761A"/>
    <w:multiLevelType w:val="multilevel"/>
    <w:tmpl w:val="1E66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37EAC"/>
    <w:multiLevelType w:val="multilevel"/>
    <w:tmpl w:val="D5D8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D12D75"/>
    <w:multiLevelType w:val="multilevel"/>
    <w:tmpl w:val="478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71C59"/>
    <w:multiLevelType w:val="multilevel"/>
    <w:tmpl w:val="7E4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C59A8"/>
    <w:multiLevelType w:val="multilevel"/>
    <w:tmpl w:val="A29CB9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2" w15:restartNumberingAfterBreak="0">
    <w:nsid w:val="48FC3E94"/>
    <w:multiLevelType w:val="multilevel"/>
    <w:tmpl w:val="DFB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06C0A"/>
    <w:multiLevelType w:val="multilevel"/>
    <w:tmpl w:val="FC0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A006E"/>
    <w:multiLevelType w:val="multilevel"/>
    <w:tmpl w:val="7714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61610"/>
    <w:multiLevelType w:val="multilevel"/>
    <w:tmpl w:val="2B5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233D2"/>
    <w:multiLevelType w:val="multilevel"/>
    <w:tmpl w:val="6C7E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911CC"/>
    <w:multiLevelType w:val="multilevel"/>
    <w:tmpl w:val="EA8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61168"/>
    <w:multiLevelType w:val="multilevel"/>
    <w:tmpl w:val="D92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B2FED"/>
    <w:multiLevelType w:val="multilevel"/>
    <w:tmpl w:val="C10E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402D0"/>
    <w:multiLevelType w:val="multilevel"/>
    <w:tmpl w:val="3F12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A4764"/>
    <w:multiLevelType w:val="multilevel"/>
    <w:tmpl w:val="0FA6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19514F"/>
    <w:multiLevelType w:val="multilevel"/>
    <w:tmpl w:val="31F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548FA"/>
    <w:multiLevelType w:val="multilevel"/>
    <w:tmpl w:val="A7E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D5B7D"/>
    <w:multiLevelType w:val="multilevel"/>
    <w:tmpl w:val="38BA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0497B"/>
    <w:multiLevelType w:val="multilevel"/>
    <w:tmpl w:val="599E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F7632"/>
    <w:multiLevelType w:val="multilevel"/>
    <w:tmpl w:val="71C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E3C69"/>
    <w:multiLevelType w:val="multilevel"/>
    <w:tmpl w:val="9FDE9F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005275621">
    <w:abstractNumId w:val="1"/>
  </w:num>
  <w:num w:numId="2" w16cid:durableId="1024863593">
    <w:abstractNumId w:val="24"/>
  </w:num>
  <w:num w:numId="3" w16cid:durableId="2131702352">
    <w:abstractNumId w:val="17"/>
  </w:num>
  <w:num w:numId="4" w16cid:durableId="1506742973">
    <w:abstractNumId w:val="21"/>
  </w:num>
  <w:num w:numId="5" w16cid:durableId="260266468">
    <w:abstractNumId w:val="0"/>
  </w:num>
  <w:num w:numId="6" w16cid:durableId="763382657">
    <w:abstractNumId w:val="20"/>
  </w:num>
  <w:num w:numId="7" w16cid:durableId="963466454">
    <w:abstractNumId w:val="18"/>
  </w:num>
  <w:num w:numId="8" w16cid:durableId="2078283188">
    <w:abstractNumId w:val="26"/>
  </w:num>
  <w:num w:numId="9" w16cid:durableId="1184172567">
    <w:abstractNumId w:val="9"/>
  </w:num>
  <w:num w:numId="10" w16cid:durableId="419176106">
    <w:abstractNumId w:val="16"/>
  </w:num>
  <w:num w:numId="11" w16cid:durableId="462819269">
    <w:abstractNumId w:val="3"/>
  </w:num>
  <w:num w:numId="12" w16cid:durableId="1054278514">
    <w:abstractNumId w:val="7"/>
  </w:num>
  <w:num w:numId="13" w16cid:durableId="1852910256">
    <w:abstractNumId w:val="19"/>
  </w:num>
  <w:num w:numId="14" w16cid:durableId="1893226767">
    <w:abstractNumId w:val="14"/>
  </w:num>
  <w:num w:numId="15" w16cid:durableId="1055809937">
    <w:abstractNumId w:val="13"/>
  </w:num>
  <w:num w:numId="16" w16cid:durableId="1837988978">
    <w:abstractNumId w:val="15"/>
  </w:num>
  <w:num w:numId="17" w16cid:durableId="1869021955">
    <w:abstractNumId w:val="23"/>
  </w:num>
  <w:num w:numId="18" w16cid:durableId="512839938">
    <w:abstractNumId w:val="12"/>
  </w:num>
  <w:num w:numId="19" w16cid:durableId="870847322">
    <w:abstractNumId w:val="25"/>
  </w:num>
  <w:num w:numId="20" w16cid:durableId="205527160">
    <w:abstractNumId w:val="2"/>
  </w:num>
  <w:num w:numId="21" w16cid:durableId="293216037">
    <w:abstractNumId w:val="22"/>
  </w:num>
  <w:num w:numId="22" w16cid:durableId="49617886">
    <w:abstractNumId w:val="4"/>
  </w:num>
  <w:num w:numId="23" w16cid:durableId="982851029">
    <w:abstractNumId w:val="8"/>
  </w:num>
  <w:num w:numId="24" w16cid:durableId="1165709602">
    <w:abstractNumId w:val="6"/>
  </w:num>
  <w:num w:numId="25" w16cid:durableId="1807310446">
    <w:abstractNumId w:val="10"/>
  </w:num>
  <w:num w:numId="26" w16cid:durableId="677000347">
    <w:abstractNumId w:val="5"/>
  </w:num>
  <w:num w:numId="27" w16cid:durableId="1477071055">
    <w:abstractNumId w:val="11"/>
  </w:num>
  <w:num w:numId="28" w16cid:durableId="557845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74"/>
    <w:rsid w:val="001E177D"/>
    <w:rsid w:val="005803BC"/>
    <w:rsid w:val="006644EA"/>
    <w:rsid w:val="006C3304"/>
    <w:rsid w:val="00776C5B"/>
    <w:rsid w:val="00934789"/>
    <w:rsid w:val="00A65383"/>
    <w:rsid w:val="00A8675C"/>
    <w:rsid w:val="00C12CFD"/>
    <w:rsid w:val="00E86E74"/>
    <w:rsid w:val="00F4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C7D78"/>
  <w15:chartTrackingRefBased/>
  <w15:docId w15:val="{8C126398-E033-4266-B5FE-787A163C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8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E7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86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E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6E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6E74"/>
  </w:style>
  <w:style w:type="paragraph" w:styleId="Piedepgina">
    <w:name w:val="footer"/>
    <w:basedOn w:val="Normal"/>
    <w:link w:val="PiedepginaCar"/>
    <w:uiPriority w:val="99"/>
    <w:unhideWhenUsed/>
    <w:rsid w:val="00E86E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1617</Words>
  <Characters>10176</Characters>
  <Application>Microsoft Office Word</Application>
  <DocSecurity>0</DocSecurity>
  <Lines>242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2025-12-15T17:58:00Z</dcterms:created>
  <dcterms:modified xsi:type="dcterms:W3CDTF">2026-01-19T11:35:00Z</dcterms:modified>
</cp:coreProperties>
</file>