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7987" w14:textId="77777777" w:rsidR="007420A8" w:rsidRPr="002402EB" w:rsidRDefault="007420A8" w:rsidP="002402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02EB">
        <w:rPr>
          <w:rFonts w:ascii="Cambria" w:hAnsi="Cambria"/>
          <w:b/>
          <w:bCs/>
          <w:color w:val="auto"/>
          <w:sz w:val="28"/>
          <w:szCs w:val="28"/>
        </w:rPr>
        <w:t>1. Introducción y Definición</w:t>
      </w:r>
    </w:p>
    <w:p w14:paraId="0335058A" w14:textId="77777777" w:rsidR="007420A8" w:rsidRPr="002402EB" w:rsidRDefault="007420A8" w:rsidP="002402EB">
      <w:pPr>
        <w:numPr>
          <w:ilvl w:val="0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Definición de Distribución Comercial:</w:t>
      </w:r>
    </w:p>
    <w:p w14:paraId="24223C47" w14:textId="77777777" w:rsidR="007420A8" w:rsidRPr="002402EB" w:rsidRDefault="007420A8" w:rsidP="002402EB">
      <w:pPr>
        <w:numPr>
          <w:ilvl w:val="1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Conjunto de actividades que permiten salvar el bache entre producción y consumo.</w:t>
      </w:r>
    </w:p>
    <w:p w14:paraId="506F2BAA" w14:textId="77777777" w:rsidR="007420A8" w:rsidRPr="002402EB" w:rsidRDefault="007420A8" w:rsidP="002402EB">
      <w:pPr>
        <w:numPr>
          <w:ilvl w:val="1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Movimiento de mercancías desde donde son menos necesarias a donde son más necesarias, conectando oferta y demanda.</w:t>
      </w:r>
    </w:p>
    <w:p w14:paraId="53EAE841" w14:textId="77777777" w:rsidR="007420A8" w:rsidRPr="002402EB" w:rsidRDefault="007420A8" w:rsidP="002402EB">
      <w:pPr>
        <w:numPr>
          <w:ilvl w:val="0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Clasificación Sectorial (INE/CNAE):</w:t>
      </w:r>
    </w:p>
    <w:p w14:paraId="75DCFB19" w14:textId="77777777" w:rsidR="007420A8" w:rsidRPr="002402EB" w:rsidRDefault="007420A8" w:rsidP="002402EB">
      <w:pPr>
        <w:numPr>
          <w:ilvl w:val="1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 xml:space="preserve">Actividad perteneciente al sector </w:t>
      </w:r>
      <w:r w:rsidRPr="00842711">
        <w:rPr>
          <w:rFonts w:ascii="Cambria" w:hAnsi="Cambria"/>
        </w:rPr>
        <w:t>Servicios</w:t>
      </w:r>
      <w:r w:rsidRPr="002402EB">
        <w:rPr>
          <w:rFonts w:ascii="Cambria" w:hAnsi="Cambria"/>
        </w:rPr>
        <w:t>.</w:t>
      </w:r>
    </w:p>
    <w:p w14:paraId="3999E718" w14:textId="77777777" w:rsidR="007420A8" w:rsidRPr="002402EB" w:rsidRDefault="007420A8" w:rsidP="002402EB">
      <w:pPr>
        <w:numPr>
          <w:ilvl w:val="1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Incluye: vehículos a motor y motocicletas, combustibles, comercio al por mayor y comercio al por menor.</w:t>
      </w:r>
    </w:p>
    <w:p w14:paraId="604344AE" w14:textId="77777777" w:rsidR="007420A8" w:rsidRPr="002402EB" w:rsidRDefault="007420A8" w:rsidP="002402EB">
      <w:pPr>
        <w:numPr>
          <w:ilvl w:val="0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Factores de transformación del sector:</w:t>
      </w:r>
    </w:p>
    <w:p w14:paraId="0FAEB38F" w14:textId="77777777" w:rsidR="007420A8" w:rsidRPr="002402EB" w:rsidRDefault="007420A8" w:rsidP="002402EB">
      <w:pPr>
        <w:numPr>
          <w:ilvl w:val="1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Factores socioeconómicos:</w:t>
      </w:r>
      <w:r w:rsidRPr="002402EB">
        <w:rPr>
          <w:rFonts w:ascii="Cambria" w:hAnsi="Cambria"/>
        </w:rPr>
        <w:t xml:space="preserve"> Aumento del poder adquisitivo, incorporación de la mujer al trabajo, reducción del tamaño de las familias, cultura del ocio, crecimiento de periferias urbanas, aumento del parque automovilístico y mejora del equipamiento de los hogares.</w:t>
      </w:r>
    </w:p>
    <w:p w14:paraId="3C2B4174" w14:textId="77777777" w:rsidR="007420A8" w:rsidRPr="002402EB" w:rsidRDefault="007420A8" w:rsidP="002402EB">
      <w:pPr>
        <w:numPr>
          <w:ilvl w:val="1"/>
          <w:numId w:val="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Avances tecnológicos:</w:t>
      </w:r>
      <w:r w:rsidRPr="002402EB">
        <w:rPr>
          <w:rFonts w:ascii="Cambria" w:hAnsi="Cambria"/>
        </w:rPr>
        <w:t xml:space="preserve"> Desarrollo de las TIC, e-</w:t>
      </w:r>
      <w:proofErr w:type="spellStart"/>
      <w:r w:rsidRPr="002402EB">
        <w:rPr>
          <w:rFonts w:ascii="Cambria" w:hAnsi="Cambria"/>
        </w:rPr>
        <w:t>commerce</w:t>
      </w:r>
      <w:proofErr w:type="spellEnd"/>
      <w:r w:rsidRPr="002402EB">
        <w:rPr>
          <w:rFonts w:ascii="Cambria" w:hAnsi="Cambria"/>
        </w:rPr>
        <w:t>, transporte, técnicas de conservación/empaquetado y estrategias comerciales.</w:t>
      </w:r>
    </w:p>
    <w:p w14:paraId="627AC413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1.1. Importancia Económica (Datos España)</w:t>
      </w:r>
    </w:p>
    <w:p w14:paraId="1AC0EAF1" w14:textId="77777777" w:rsidR="007420A8" w:rsidRPr="002402EB" w:rsidRDefault="007420A8" w:rsidP="002402EB">
      <w:pPr>
        <w:numPr>
          <w:ilvl w:val="0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Peso en la economía (2023):</w:t>
      </w:r>
    </w:p>
    <w:p w14:paraId="7601D173" w14:textId="77777777" w:rsidR="007420A8" w:rsidRPr="002402EB" w:rsidRDefault="007420A8" w:rsidP="002402EB">
      <w:pPr>
        <w:numPr>
          <w:ilvl w:val="1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 xml:space="preserve">Sector Comercio: </w:t>
      </w:r>
      <w:r w:rsidRPr="002402EB">
        <w:rPr>
          <w:rFonts w:ascii="Cambria" w:hAnsi="Cambria"/>
          <w:b/>
          <w:bCs/>
        </w:rPr>
        <w:t>12,5% del PIB y del VAB</w:t>
      </w:r>
      <w:r w:rsidRPr="002402EB">
        <w:rPr>
          <w:rFonts w:ascii="Cambria" w:hAnsi="Cambria"/>
        </w:rPr>
        <w:t xml:space="preserve"> (inferior a Industria y muy inferior a Servicios global).</w:t>
      </w:r>
    </w:p>
    <w:p w14:paraId="3ECD27EE" w14:textId="77777777" w:rsidR="007420A8" w:rsidRPr="002402EB" w:rsidRDefault="007420A8" w:rsidP="002402EB">
      <w:pPr>
        <w:numPr>
          <w:ilvl w:val="1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 xml:space="preserve">Comercio Minorista: </w:t>
      </w:r>
      <w:r w:rsidRPr="002402EB">
        <w:rPr>
          <w:rFonts w:ascii="Cambria" w:hAnsi="Cambria"/>
          <w:b/>
          <w:bCs/>
        </w:rPr>
        <w:t>5,0% del PIB</w:t>
      </w:r>
      <w:r w:rsidRPr="002402EB">
        <w:rPr>
          <w:rFonts w:ascii="Cambria" w:hAnsi="Cambria"/>
        </w:rPr>
        <w:t>.</w:t>
      </w:r>
    </w:p>
    <w:p w14:paraId="5F81B8BD" w14:textId="77777777" w:rsidR="007420A8" w:rsidRPr="002402EB" w:rsidRDefault="007420A8" w:rsidP="002402EB">
      <w:pPr>
        <w:numPr>
          <w:ilvl w:val="0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Tejido empresarial (2023):</w:t>
      </w:r>
    </w:p>
    <w:p w14:paraId="0E991E5A" w14:textId="77777777" w:rsidR="007420A8" w:rsidRPr="002402EB" w:rsidRDefault="007420A8" w:rsidP="002402EB">
      <w:pPr>
        <w:numPr>
          <w:ilvl w:val="1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646.339 empresas</w:t>
      </w:r>
      <w:r w:rsidRPr="002402EB">
        <w:rPr>
          <w:rFonts w:ascii="Cambria" w:hAnsi="Cambria"/>
        </w:rPr>
        <w:t xml:space="preserve"> (20,2% del total).</w:t>
      </w:r>
    </w:p>
    <w:p w14:paraId="232E278E" w14:textId="77777777" w:rsidR="007420A8" w:rsidRPr="002402EB" w:rsidRDefault="007420A8" w:rsidP="002402EB">
      <w:pPr>
        <w:numPr>
          <w:ilvl w:val="1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Locales activos: 822.542 (22,0% del total nacional).</w:t>
      </w:r>
    </w:p>
    <w:p w14:paraId="3CB049A7" w14:textId="77777777" w:rsidR="007420A8" w:rsidRPr="002402EB" w:rsidRDefault="007420A8" w:rsidP="002402EB">
      <w:pPr>
        <w:numPr>
          <w:ilvl w:val="2"/>
          <w:numId w:val="2"/>
        </w:numPr>
        <w:jc w:val="both"/>
        <w:rPr>
          <w:rFonts w:ascii="Cambria" w:hAnsi="Cambria"/>
        </w:rPr>
      </w:pPr>
      <w:proofErr w:type="gramStart"/>
      <w:r w:rsidRPr="002402EB">
        <w:rPr>
          <w:rFonts w:ascii="Cambria" w:hAnsi="Cambria"/>
        </w:rPr>
        <w:t>Desglose locales</w:t>
      </w:r>
      <w:proofErr w:type="gramEnd"/>
      <w:r w:rsidRPr="002402EB">
        <w:rPr>
          <w:rFonts w:ascii="Cambria" w:hAnsi="Cambria"/>
        </w:rPr>
        <w:t>: Minorista (13,6%), Mayorista (6,1%), Vehículos (2,3%).</w:t>
      </w:r>
    </w:p>
    <w:p w14:paraId="5206680E" w14:textId="77777777" w:rsidR="007420A8" w:rsidRPr="002402EB" w:rsidRDefault="007420A8" w:rsidP="002402EB">
      <w:pPr>
        <w:numPr>
          <w:ilvl w:val="0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Empleo (EPA 3T 2024):</w:t>
      </w:r>
    </w:p>
    <w:p w14:paraId="5AD2B980" w14:textId="77777777" w:rsidR="007420A8" w:rsidRPr="002402EB" w:rsidRDefault="007420A8" w:rsidP="002402EB">
      <w:pPr>
        <w:numPr>
          <w:ilvl w:val="1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Sector Comercio total: 3.154.300 ocupados.</w:t>
      </w:r>
    </w:p>
    <w:p w14:paraId="61234A3A" w14:textId="77777777" w:rsidR="007420A8" w:rsidRPr="002402EB" w:rsidRDefault="007420A8" w:rsidP="002402EB">
      <w:pPr>
        <w:numPr>
          <w:ilvl w:val="1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Comercio Minorista: 2.031.900 ocupados (representa el 9,3% de la población ocupada total).</w:t>
      </w:r>
    </w:p>
    <w:p w14:paraId="21E36E09" w14:textId="77777777" w:rsidR="007420A8" w:rsidRPr="002402EB" w:rsidRDefault="007420A8" w:rsidP="002402EB">
      <w:pPr>
        <w:numPr>
          <w:ilvl w:val="1"/>
          <w:numId w:val="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lastRenderedPageBreak/>
        <w:t>Tendencia:</w:t>
      </w:r>
      <w:r w:rsidRPr="002402EB">
        <w:rPr>
          <w:rFonts w:ascii="Cambria" w:hAnsi="Cambria"/>
        </w:rPr>
        <w:t xml:space="preserve"> Pérdida de peso del trabajo autónomo frente al asalariado y aumento de cuota de grandes empresas frente al pequeño comercio.</w:t>
      </w:r>
    </w:p>
    <w:p w14:paraId="2D011661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1.2. Normativa Básica</w:t>
      </w:r>
    </w:p>
    <w:p w14:paraId="1DC4492D" w14:textId="77777777" w:rsidR="007420A8" w:rsidRPr="002402EB" w:rsidRDefault="007420A8" w:rsidP="002402EB">
      <w:pPr>
        <w:numPr>
          <w:ilvl w:val="0"/>
          <w:numId w:val="3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Leyes principales:</w:t>
      </w:r>
    </w:p>
    <w:p w14:paraId="0E381732" w14:textId="76EF8776" w:rsidR="007420A8" w:rsidRPr="002402EB" w:rsidRDefault="007420A8" w:rsidP="002402EB">
      <w:pPr>
        <w:numPr>
          <w:ilvl w:val="1"/>
          <w:numId w:val="3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Ley 7/1996</w:t>
      </w:r>
      <w:r w:rsidRPr="002402EB">
        <w:rPr>
          <w:rFonts w:ascii="Cambria" w:hAnsi="Cambria"/>
        </w:rPr>
        <w:t xml:space="preserve"> de Ordenación del Comercio Minorista (</w:t>
      </w:r>
      <w:r w:rsidR="00842711">
        <w:rPr>
          <w:rFonts w:ascii="Cambria" w:hAnsi="Cambria"/>
        </w:rPr>
        <w:t xml:space="preserve">mod. </w:t>
      </w:r>
      <w:r w:rsidRPr="002402EB">
        <w:rPr>
          <w:rFonts w:ascii="Cambria" w:hAnsi="Cambria"/>
        </w:rPr>
        <w:t>Ley 1/2010).</w:t>
      </w:r>
    </w:p>
    <w:p w14:paraId="18DE9675" w14:textId="77777777" w:rsidR="007420A8" w:rsidRPr="002402EB" w:rsidRDefault="007420A8" w:rsidP="002402EB">
      <w:pPr>
        <w:numPr>
          <w:ilvl w:val="1"/>
          <w:numId w:val="3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Ley 1/2004</w:t>
      </w:r>
      <w:r w:rsidRPr="002402EB">
        <w:rPr>
          <w:rFonts w:ascii="Cambria" w:hAnsi="Cambria"/>
        </w:rPr>
        <w:t xml:space="preserve"> de Horarios Comerciales.</w:t>
      </w:r>
    </w:p>
    <w:p w14:paraId="2E3ED04F" w14:textId="77777777" w:rsidR="007420A8" w:rsidRPr="002402EB" w:rsidRDefault="007420A8" w:rsidP="002402EB">
      <w:pPr>
        <w:numPr>
          <w:ilvl w:val="1"/>
          <w:numId w:val="3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Ley 3/2004</w:t>
      </w:r>
      <w:r w:rsidRPr="002402EB">
        <w:rPr>
          <w:rFonts w:ascii="Cambria" w:hAnsi="Cambria"/>
        </w:rPr>
        <w:t xml:space="preserve"> de lucha contra la morosidad.</w:t>
      </w:r>
    </w:p>
    <w:p w14:paraId="3ACA3D51" w14:textId="77777777" w:rsidR="007420A8" w:rsidRPr="002402EB" w:rsidRDefault="007420A8" w:rsidP="002402EB">
      <w:pPr>
        <w:numPr>
          <w:ilvl w:val="0"/>
          <w:numId w:val="3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Licencias y liberalización:</w:t>
      </w:r>
    </w:p>
    <w:p w14:paraId="7B9F255D" w14:textId="77777777" w:rsidR="007420A8" w:rsidRPr="002402EB" w:rsidRDefault="007420A8" w:rsidP="002402EB">
      <w:pPr>
        <w:numPr>
          <w:ilvl w:val="1"/>
          <w:numId w:val="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Regla general: No sujeción a autorización previa.</w:t>
      </w:r>
    </w:p>
    <w:p w14:paraId="236951EE" w14:textId="7D35F78D" w:rsidR="007420A8" w:rsidRPr="002402EB" w:rsidRDefault="007420A8" w:rsidP="002402EB">
      <w:pPr>
        <w:numPr>
          <w:ilvl w:val="1"/>
          <w:numId w:val="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Excepciones: Razones imperiosas de interés general</w:t>
      </w:r>
    </w:p>
    <w:p w14:paraId="1A78D5BB" w14:textId="77777777" w:rsidR="007420A8" w:rsidRPr="002402EB" w:rsidRDefault="007420A8" w:rsidP="002402EB">
      <w:pPr>
        <w:numPr>
          <w:ilvl w:val="1"/>
          <w:numId w:val="4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Supresión de barreras:</w:t>
      </w:r>
    </w:p>
    <w:p w14:paraId="28AC183D" w14:textId="5FD5B4BB" w:rsidR="007420A8" w:rsidRPr="002402EB" w:rsidRDefault="007420A8" w:rsidP="002402EB">
      <w:pPr>
        <w:numPr>
          <w:ilvl w:val="2"/>
          <w:numId w:val="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 xml:space="preserve">Sustitución de licencia por declaración responsable/comunicación previa para locales hasta 300 </w:t>
      </w:r>
      <w:r w:rsidR="002402EB">
        <w:rPr>
          <w:rFonts w:ascii="Cambria" w:hAnsi="Cambria"/>
        </w:rPr>
        <w:t>m</w:t>
      </w:r>
      <w:r w:rsidR="002402EB" w:rsidRPr="002402EB">
        <w:rPr>
          <w:rFonts w:ascii="Cambria" w:hAnsi="Cambria"/>
          <w:vertAlign w:val="superscript"/>
        </w:rPr>
        <w:t>2</w:t>
      </w:r>
      <w:r w:rsidR="002402EB" w:rsidRPr="002402EB">
        <w:rPr>
          <w:rFonts w:ascii="Cambria" w:hAnsi="Cambria"/>
        </w:rPr>
        <w:t xml:space="preserve"> </w:t>
      </w:r>
      <w:r w:rsidRPr="002402EB">
        <w:rPr>
          <w:rFonts w:ascii="Cambria" w:hAnsi="Cambria"/>
        </w:rPr>
        <w:t xml:space="preserve">(Ley 12/2012), ampliado a 500 </w:t>
      </w:r>
      <w:r w:rsidR="002402EB">
        <w:rPr>
          <w:rFonts w:ascii="Cambria" w:hAnsi="Cambria"/>
        </w:rPr>
        <w:t>m</w:t>
      </w:r>
      <w:r w:rsidR="002402EB" w:rsidRPr="002402EB">
        <w:rPr>
          <w:rFonts w:ascii="Cambria" w:hAnsi="Cambria"/>
          <w:vertAlign w:val="superscript"/>
        </w:rPr>
        <w:t>2</w:t>
      </w:r>
      <w:r w:rsidR="002402EB">
        <w:rPr>
          <w:rFonts w:ascii="Cambria" w:hAnsi="Cambria"/>
          <w:vertAlign w:val="superscript"/>
        </w:rPr>
        <w:t xml:space="preserve"> </w:t>
      </w:r>
      <w:r w:rsidRPr="002402EB">
        <w:rPr>
          <w:rFonts w:ascii="Cambria" w:hAnsi="Cambria"/>
        </w:rPr>
        <w:t xml:space="preserve">y 750 </w:t>
      </w:r>
      <w:r w:rsidR="002402EB">
        <w:rPr>
          <w:rFonts w:ascii="Cambria" w:hAnsi="Cambria"/>
        </w:rPr>
        <w:t>m</w:t>
      </w:r>
      <w:r w:rsidR="002402EB" w:rsidRPr="002402EB">
        <w:rPr>
          <w:rFonts w:ascii="Cambria" w:hAnsi="Cambria"/>
          <w:vertAlign w:val="superscript"/>
        </w:rPr>
        <w:t>2</w:t>
      </w:r>
      <w:r w:rsidR="002402EB">
        <w:rPr>
          <w:rFonts w:ascii="Cambria" w:hAnsi="Cambria"/>
          <w:vertAlign w:val="superscript"/>
        </w:rPr>
        <w:t xml:space="preserve"> </w:t>
      </w:r>
      <w:r w:rsidRPr="002402EB">
        <w:rPr>
          <w:rFonts w:ascii="Cambria" w:hAnsi="Cambria"/>
        </w:rPr>
        <w:t>posteriormente.</w:t>
      </w:r>
    </w:p>
    <w:p w14:paraId="6D2AA390" w14:textId="77777777" w:rsidR="007420A8" w:rsidRPr="002402EB" w:rsidRDefault="007420A8" w:rsidP="002402EB">
      <w:pPr>
        <w:numPr>
          <w:ilvl w:val="2"/>
          <w:numId w:val="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Eliminación de registros de Franquiciadores y Ventas a Distancia (2018).</w:t>
      </w:r>
    </w:p>
    <w:p w14:paraId="17D1CF7D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1.3. Organismos: Observatorios</w:t>
      </w:r>
    </w:p>
    <w:p w14:paraId="6711B1C5" w14:textId="77777777" w:rsidR="007420A8" w:rsidRPr="002402EB" w:rsidRDefault="007420A8" w:rsidP="002402EB">
      <w:pPr>
        <w:numPr>
          <w:ilvl w:val="0"/>
          <w:numId w:val="5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Observatorio de la Distribución Comercial (1996):</w:t>
      </w:r>
      <w:r w:rsidRPr="002402EB">
        <w:rPr>
          <w:rFonts w:ascii="Cambria" w:hAnsi="Cambria"/>
        </w:rPr>
        <w:t xml:space="preserve"> Seguimiento de la evolución del sistema comercial.</w:t>
      </w:r>
    </w:p>
    <w:p w14:paraId="2CDDB7B9" w14:textId="77777777" w:rsidR="007420A8" w:rsidRPr="002402EB" w:rsidRDefault="007420A8" w:rsidP="002402EB">
      <w:pPr>
        <w:numPr>
          <w:ilvl w:val="0"/>
          <w:numId w:val="5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Observatorio del Comercio 4.0 (2018):</w:t>
      </w:r>
    </w:p>
    <w:p w14:paraId="50DDEFED" w14:textId="77777777" w:rsidR="007420A8" w:rsidRPr="002402EB" w:rsidRDefault="007420A8" w:rsidP="002402EB">
      <w:pPr>
        <w:numPr>
          <w:ilvl w:val="1"/>
          <w:numId w:val="5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Objetivo:</w:t>
      </w:r>
      <w:r w:rsidRPr="002402EB">
        <w:rPr>
          <w:rFonts w:ascii="Cambria" w:hAnsi="Cambria"/>
        </w:rPr>
        <w:t xml:space="preserve"> Analizar la transformación digital y adaptación del comercio minorista.</w:t>
      </w:r>
    </w:p>
    <w:p w14:paraId="6D4A2805" w14:textId="77777777" w:rsidR="007420A8" w:rsidRPr="002402EB" w:rsidRDefault="007420A8" w:rsidP="002402EB">
      <w:pPr>
        <w:numPr>
          <w:ilvl w:val="1"/>
          <w:numId w:val="5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Estructura:</w:t>
      </w:r>
      <w:r w:rsidRPr="002402EB">
        <w:rPr>
          <w:rFonts w:ascii="Cambria" w:hAnsi="Cambria"/>
        </w:rPr>
        <w:t xml:space="preserve"> </w:t>
      </w:r>
      <w:proofErr w:type="gramStart"/>
      <w:r w:rsidRPr="002402EB">
        <w:rPr>
          <w:rFonts w:ascii="Cambria" w:hAnsi="Cambria"/>
        </w:rPr>
        <w:t>Presidente</w:t>
      </w:r>
      <w:proofErr w:type="gramEnd"/>
      <w:r w:rsidRPr="002402EB">
        <w:rPr>
          <w:rFonts w:ascii="Cambria" w:hAnsi="Cambria"/>
        </w:rPr>
        <w:t xml:space="preserve">, </w:t>
      </w:r>
      <w:proofErr w:type="gramStart"/>
      <w:r w:rsidRPr="002402EB">
        <w:rPr>
          <w:rFonts w:ascii="Cambria" w:hAnsi="Cambria"/>
        </w:rPr>
        <w:t>Vicepresidente</w:t>
      </w:r>
      <w:proofErr w:type="gramEnd"/>
      <w:r w:rsidRPr="002402EB">
        <w:rPr>
          <w:rFonts w:ascii="Cambria" w:hAnsi="Cambria"/>
        </w:rPr>
        <w:t xml:space="preserve">, 20 vocales, </w:t>
      </w:r>
      <w:proofErr w:type="gramStart"/>
      <w:r w:rsidRPr="002402EB">
        <w:rPr>
          <w:rFonts w:ascii="Cambria" w:hAnsi="Cambria"/>
        </w:rPr>
        <w:t>Secretario</w:t>
      </w:r>
      <w:proofErr w:type="gramEnd"/>
      <w:r w:rsidRPr="002402EB">
        <w:rPr>
          <w:rFonts w:ascii="Cambria" w:hAnsi="Cambria"/>
        </w:rPr>
        <w:t>.</w:t>
      </w:r>
    </w:p>
    <w:p w14:paraId="50EE2840" w14:textId="77777777" w:rsidR="007420A8" w:rsidRPr="002402EB" w:rsidRDefault="007420A8" w:rsidP="002402EB">
      <w:pPr>
        <w:numPr>
          <w:ilvl w:val="1"/>
          <w:numId w:val="5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Grupos de trabajo:</w:t>
      </w:r>
      <w:r w:rsidRPr="002402EB">
        <w:rPr>
          <w:rFonts w:ascii="Cambria" w:hAnsi="Cambria"/>
        </w:rPr>
        <w:t xml:space="preserve"> Información, Análisis del marco regulatorio, Ayudas al comercio, Formación y capacitación digital.</w:t>
      </w:r>
    </w:p>
    <w:p w14:paraId="7C354807" w14:textId="177FDB41" w:rsidR="007420A8" w:rsidRPr="002402EB" w:rsidRDefault="007420A8" w:rsidP="002402EB">
      <w:pPr>
        <w:numPr>
          <w:ilvl w:val="1"/>
          <w:numId w:val="5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Composición:</w:t>
      </w:r>
      <w:r w:rsidRPr="002402EB">
        <w:rPr>
          <w:rFonts w:ascii="Cambria" w:hAnsi="Cambria"/>
        </w:rPr>
        <w:t xml:space="preserve"> Ministerios, CNMC, INE, Organizaciones (CEC, ANGED, ADIGITAL, FEMP) y expertos.</w:t>
      </w:r>
    </w:p>
    <w:p w14:paraId="23191F9E" w14:textId="77777777" w:rsidR="007420A8" w:rsidRPr="002402EB" w:rsidRDefault="007420A8" w:rsidP="002402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02EB">
        <w:rPr>
          <w:rFonts w:ascii="Cambria" w:hAnsi="Cambria"/>
          <w:b/>
          <w:bCs/>
          <w:color w:val="auto"/>
          <w:sz w:val="28"/>
          <w:szCs w:val="28"/>
        </w:rPr>
        <w:t>2. El Marco Económico de la Distribución Comercial</w:t>
      </w:r>
    </w:p>
    <w:p w14:paraId="15DEB99B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2.1. Evolución del Consumo en Hogares (INE 2023)</w:t>
      </w:r>
    </w:p>
    <w:p w14:paraId="1C83348B" w14:textId="77777777" w:rsidR="007420A8" w:rsidRPr="002402EB" w:rsidRDefault="007420A8" w:rsidP="002402EB">
      <w:pPr>
        <w:numPr>
          <w:ilvl w:val="0"/>
          <w:numId w:val="6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Gasto general:</w:t>
      </w:r>
    </w:p>
    <w:p w14:paraId="70838C0A" w14:textId="77777777" w:rsidR="007420A8" w:rsidRPr="002402EB" w:rsidRDefault="007420A8" w:rsidP="002402EB">
      <w:pPr>
        <w:numPr>
          <w:ilvl w:val="1"/>
          <w:numId w:val="6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Gasto medio por hogar: 32.617€ (+3,8% vs 2022).</w:t>
      </w:r>
    </w:p>
    <w:p w14:paraId="01A049C8" w14:textId="77777777" w:rsidR="007420A8" w:rsidRPr="002402EB" w:rsidRDefault="007420A8" w:rsidP="002402EB">
      <w:pPr>
        <w:numPr>
          <w:ilvl w:val="1"/>
          <w:numId w:val="6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lastRenderedPageBreak/>
        <w:t>Sectores en alza: Restaurantes/Hoteles (+13,2%), Ocio/Cultura y Vestido/Calzado.</w:t>
      </w:r>
    </w:p>
    <w:p w14:paraId="7D3B31BA" w14:textId="77777777" w:rsidR="007420A8" w:rsidRPr="002402EB" w:rsidRDefault="007420A8" w:rsidP="002402EB">
      <w:pPr>
        <w:numPr>
          <w:ilvl w:val="1"/>
          <w:numId w:val="6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Sectores a la baja: Bebidas alcohólicas y Comunicaciones.</w:t>
      </w:r>
    </w:p>
    <w:p w14:paraId="62EFB5FD" w14:textId="77777777" w:rsidR="007420A8" w:rsidRPr="002402EB" w:rsidRDefault="007420A8" w:rsidP="002402EB">
      <w:pPr>
        <w:numPr>
          <w:ilvl w:val="0"/>
          <w:numId w:val="6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Distribución del presupuesto:</w:t>
      </w:r>
    </w:p>
    <w:p w14:paraId="2125953C" w14:textId="77777777" w:rsidR="007420A8" w:rsidRPr="002402EB" w:rsidRDefault="007420A8" w:rsidP="002402EB">
      <w:pPr>
        <w:numPr>
          <w:ilvl w:val="1"/>
          <w:numId w:val="7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Vivienda y suministros: 31,8%.</w:t>
      </w:r>
    </w:p>
    <w:p w14:paraId="39DAEEF9" w14:textId="77777777" w:rsidR="007420A8" w:rsidRPr="002402EB" w:rsidRDefault="007420A8" w:rsidP="002402EB">
      <w:pPr>
        <w:numPr>
          <w:ilvl w:val="1"/>
          <w:numId w:val="7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Alimentos y bebidas no alcohólicas: 16,4%.</w:t>
      </w:r>
    </w:p>
    <w:p w14:paraId="1F0E8792" w14:textId="77777777" w:rsidR="007420A8" w:rsidRPr="002402EB" w:rsidRDefault="007420A8" w:rsidP="002402EB">
      <w:pPr>
        <w:numPr>
          <w:ilvl w:val="1"/>
          <w:numId w:val="7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Transporte: 11,6%.</w:t>
      </w:r>
    </w:p>
    <w:p w14:paraId="0B73BFF6" w14:textId="77777777" w:rsidR="007420A8" w:rsidRPr="002402EB" w:rsidRDefault="007420A8" w:rsidP="002402EB">
      <w:pPr>
        <w:numPr>
          <w:ilvl w:val="0"/>
          <w:numId w:val="6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Geografía:</w:t>
      </w:r>
      <w:r w:rsidRPr="002402EB">
        <w:rPr>
          <w:rFonts w:ascii="Cambria" w:hAnsi="Cambria"/>
        </w:rPr>
        <w:t xml:space="preserve"> Mayor gasto en País Vasco, Baleares y Madrid; menor en Extremadura y Canarias.</w:t>
      </w:r>
    </w:p>
    <w:p w14:paraId="729804A0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2.2. Consumo Alimentario (Informe MAPA 2023)</w:t>
      </w:r>
    </w:p>
    <w:p w14:paraId="4CF65A2C" w14:textId="77777777" w:rsidR="007420A8" w:rsidRPr="002402EB" w:rsidRDefault="007420A8" w:rsidP="002402EB">
      <w:pPr>
        <w:numPr>
          <w:ilvl w:val="0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Datos globales:</w:t>
      </w:r>
    </w:p>
    <w:p w14:paraId="21EE2121" w14:textId="77777777" w:rsidR="007420A8" w:rsidRPr="002402EB" w:rsidRDefault="007420A8" w:rsidP="002402EB">
      <w:pPr>
        <w:numPr>
          <w:ilvl w:val="1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Gasto total: +7,5% (por aumento de precios).</w:t>
      </w:r>
    </w:p>
    <w:p w14:paraId="4779ABFB" w14:textId="77777777" w:rsidR="007420A8" w:rsidRPr="002402EB" w:rsidRDefault="007420A8" w:rsidP="002402EB">
      <w:pPr>
        <w:numPr>
          <w:ilvl w:val="1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Volumen consumido: -0,7%.</w:t>
      </w:r>
    </w:p>
    <w:p w14:paraId="21C7907B" w14:textId="77777777" w:rsidR="007420A8" w:rsidRPr="002402EB" w:rsidRDefault="007420A8" w:rsidP="002402EB">
      <w:pPr>
        <w:numPr>
          <w:ilvl w:val="0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Tipología:</w:t>
      </w:r>
    </w:p>
    <w:p w14:paraId="7FFE7F6B" w14:textId="77777777" w:rsidR="007420A8" w:rsidRPr="002402EB" w:rsidRDefault="007420A8" w:rsidP="002402EB">
      <w:pPr>
        <w:numPr>
          <w:ilvl w:val="1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Frescos: Aumentan importancia (37,6% volumen).</w:t>
      </w:r>
    </w:p>
    <w:p w14:paraId="616B29AD" w14:textId="77777777" w:rsidR="007420A8" w:rsidRPr="002402EB" w:rsidRDefault="007420A8" w:rsidP="002402EB">
      <w:pPr>
        <w:numPr>
          <w:ilvl w:val="1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Resto alimentación: Pierden intensidad de compra.</w:t>
      </w:r>
    </w:p>
    <w:p w14:paraId="672AAAC9" w14:textId="77777777" w:rsidR="007420A8" w:rsidRPr="002402EB" w:rsidRDefault="007420A8" w:rsidP="002402EB">
      <w:pPr>
        <w:numPr>
          <w:ilvl w:val="1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Destaca la subida de consumo de aceite de girasol (+24,6%) frente a la bajada del de oliva.</w:t>
      </w:r>
    </w:p>
    <w:p w14:paraId="6AE6D229" w14:textId="77777777" w:rsidR="007420A8" w:rsidRPr="002402EB" w:rsidRDefault="007420A8" w:rsidP="002402EB">
      <w:pPr>
        <w:numPr>
          <w:ilvl w:val="0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Cuota por Canales (2023):</w:t>
      </w:r>
    </w:p>
    <w:p w14:paraId="34195360" w14:textId="77777777" w:rsidR="007420A8" w:rsidRPr="002402EB" w:rsidRDefault="007420A8" w:rsidP="002402EB">
      <w:pPr>
        <w:numPr>
          <w:ilvl w:val="1"/>
          <w:numId w:val="9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Supermercados y autoservicios:</w:t>
      </w:r>
      <w:r w:rsidRPr="002402EB">
        <w:rPr>
          <w:rFonts w:ascii="Cambria" w:hAnsi="Cambria"/>
        </w:rPr>
        <w:t xml:space="preserve"> 50,7% (Líderes).</w:t>
      </w:r>
    </w:p>
    <w:p w14:paraId="4AA053AE" w14:textId="77777777" w:rsidR="007420A8" w:rsidRPr="002402EB" w:rsidRDefault="007420A8" w:rsidP="002402EB">
      <w:pPr>
        <w:numPr>
          <w:ilvl w:val="1"/>
          <w:numId w:val="9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Tienda descuento:</w:t>
      </w:r>
      <w:r w:rsidRPr="002402EB">
        <w:rPr>
          <w:rFonts w:ascii="Cambria" w:hAnsi="Cambria"/>
        </w:rPr>
        <w:t xml:space="preserve"> 14,1% (Mejor evolución).</w:t>
      </w:r>
    </w:p>
    <w:p w14:paraId="03B710D5" w14:textId="77777777" w:rsidR="007420A8" w:rsidRPr="002402EB" w:rsidRDefault="007420A8" w:rsidP="002402EB">
      <w:pPr>
        <w:numPr>
          <w:ilvl w:val="1"/>
          <w:numId w:val="9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Hipermercado:</w:t>
      </w:r>
      <w:r w:rsidRPr="002402EB">
        <w:rPr>
          <w:rFonts w:ascii="Cambria" w:hAnsi="Cambria"/>
        </w:rPr>
        <w:t xml:space="preserve"> 12,9%.</w:t>
      </w:r>
    </w:p>
    <w:p w14:paraId="210D6DF5" w14:textId="77777777" w:rsidR="007420A8" w:rsidRPr="002402EB" w:rsidRDefault="007420A8" w:rsidP="002402EB">
      <w:pPr>
        <w:numPr>
          <w:ilvl w:val="1"/>
          <w:numId w:val="9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Tienda tradicional:</w:t>
      </w:r>
      <w:r w:rsidRPr="002402EB">
        <w:rPr>
          <w:rFonts w:ascii="Cambria" w:hAnsi="Cambria"/>
        </w:rPr>
        <w:t xml:space="preserve"> 11,9% (Perdedora).</w:t>
      </w:r>
    </w:p>
    <w:p w14:paraId="1B401AC9" w14:textId="77777777" w:rsidR="007420A8" w:rsidRPr="002402EB" w:rsidRDefault="007420A8" w:rsidP="002402EB">
      <w:pPr>
        <w:numPr>
          <w:ilvl w:val="1"/>
          <w:numId w:val="9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Online:</w:t>
      </w:r>
      <w:r w:rsidRPr="002402EB">
        <w:rPr>
          <w:rFonts w:ascii="Cambria" w:hAnsi="Cambria"/>
        </w:rPr>
        <w:t xml:space="preserve"> 2,2% (Descenso en 2023).</w:t>
      </w:r>
    </w:p>
    <w:p w14:paraId="05504F24" w14:textId="77777777" w:rsidR="007420A8" w:rsidRPr="002402EB" w:rsidRDefault="007420A8" w:rsidP="002402EB">
      <w:pPr>
        <w:numPr>
          <w:ilvl w:val="0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Comportamiento:</w:t>
      </w:r>
    </w:p>
    <w:p w14:paraId="74F8BB71" w14:textId="77777777" w:rsidR="007420A8" w:rsidRPr="002402EB" w:rsidRDefault="007420A8" w:rsidP="002402EB">
      <w:pPr>
        <w:numPr>
          <w:ilvl w:val="1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Factores de elección: Calidad &gt; Proximidad &gt; Precio.</w:t>
      </w:r>
    </w:p>
    <w:p w14:paraId="053BD411" w14:textId="77777777" w:rsidR="007420A8" w:rsidRPr="002402EB" w:rsidRDefault="007420A8" w:rsidP="002402EB">
      <w:pPr>
        <w:numPr>
          <w:ilvl w:val="1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 xml:space="preserve">Hábitos: Menos visitas, cesta más llena y </w:t>
      </w:r>
      <w:proofErr w:type="gramStart"/>
      <w:r w:rsidRPr="002402EB">
        <w:rPr>
          <w:rFonts w:ascii="Cambria" w:hAnsi="Cambria"/>
        </w:rPr>
        <w:t>ticket</w:t>
      </w:r>
      <w:proofErr w:type="gramEnd"/>
      <w:r w:rsidRPr="002402EB">
        <w:rPr>
          <w:rFonts w:ascii="Cambria" w:hAnsi="Cambria"/>
        </w:rPr>
        <w:t xml:space="preserve"> medio mayor.</w:t>
      </w:r>
    </w:p>
    <w:p w14:paraId="634346F2" w14:textId="77777777" w:rsidR="007420A8" w:rsidRPr="002402EB" w:rsidRDefault="007420A8" w:rsidP="002402EB">
      <w:pPr>
        <w:numPr>
          <w:ilvl w:val="1"/>
          <w:numId w:val="8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Lugar: 87,4% consumo en casa vs 12,6% fuera.</w:t>
      </w:r>
    </w:p>
    <w:p w14:paraId="2705A9A7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lastRenderedPageBreak/>
        <w:t xml:space="preserve">2.3. Comportamiento de Compra por Sectores (Observatorio </w:t>
      </w:r>
      <w:proofErr w:type="spellStart"/>
      <w:r w:rsidRPr="002402EB">
        <w:rPr>
          <w:rFonts w:ascii="Cambria" w:hAnsi="Cambria"/>
          <w:b/>
          <w:bCs/>
          <w:color w:val="auto"/>
          <w:sz w:val="24"/>
          <w:szCs w:val="24"/>
        </w:rPr>
        <w:t>Cetelem</w:t>
      </w:r>
      <w:proofErr w:type="spellEnd"/>
      <w:r w:rsidRPr="002402EB">
        <w:rPr>
          <w:rFonts w:ascii="Cambria" w:hAnsi="Cambria"/>
          <w:b/>
          <w:bCs/>
          <w:color w:val="auto"/>
          <w:sz w:val="24"/>
          <w:szCs w:val="24"/>
        </w:rPr>
        <w:t xml:space="preserve"> 2023)</w:t>
      </w:r>
    </w:p>
    <w:p w14:paraId="1F4A2930" w14:textId="77777777" w:rsidR="007420A8" w:rsidRPr="002402EB" w:rsidRDefault="007420A8" w:rsidP="002402EB">
      <w:pPr>
        <w:numPr>
          <w:ilvl w:val="0"/>
          <w:numId w:val="10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Sectores Top:</w:t>
      </w:r>
      <w:r w:rsidRPr="002402EB">
        <w:rPr>
          <w:rFonts w:ascii="Cambria" w:hAnsi="Cambria"/>
        </w:rPr>
        <w:t xml:space="preserve"> Deporte (85%), Viajes (74%), Electrodomésticos/Tecnología (67%).</w:t>
      </w:r>
    </w:p>
    <w:p w14:paraId="7B1ACEC8" w14:textId="77777777" w:rsidR="007420A8" w:rsidRPr="002402EB" w:rsidRDefault="007420A8" w:rsidP="002402EB">
      <w:pPr>
        <w:numPr>
          <w:ilvl w:val="0"/>
          <w:numId w:val="10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Detalle Sectorial:</w:t>
      </w:r>
    </w:p>
    <w:p w14:paraId="4E7BBF46" w14:textId="77777777" w:rsidR="007420A8" w:rsidRPr="002402EB" w:rsidRDefault="007420A8" w:rsidP="002402EB">
      <w:pPr>
        <w:numPr>
          <w:ilvl w:val="1"/>
          <w:numId w:val="10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Electrodomésticos (Gama Blanca):</w:t>
      </w:r>
      <w:r w:rsidRPr="002402EB">
        <w:rPr>
          <w:rFonts w:ascii="Cambria" w:hAnsi="Cambria"/>
        </w:rPr>
        <w:t xml:space="preserve"> Perfil mujer 45-54 años. Compra en Gran superficie especializada (25%).</w:t>
      </w:r>
    </w:p>
    <w:p w14:paraId="7C65BA91" w14:textId="77777777" w:rsidR="007420A8" w:rsidRPr="002402EB" w:rsidRDefault="007420A8" w:rsidP="002402EB">
      <w:pPr>
        <w:numPr>
          <w:ilvl w:val="1"/>
          <w:numId w:val="10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Tecnología:</w:t>
      </w:r>
      <w:r w:rsidRPr="002402EB">
        <w:rPr>
          <w:rFonts w:ascii="Cambria" w:hAnsi="Cambria"/>
        </w:rPr>
        <w:t xml:space="preserve"> Perfil joven 18-24 años. Compra Online mayoritaria (42%).</w:t>
      </w:r>
    </w:p>
    <w:p w14:paraId="65B33A38" w14:textId="77777777" w:rsidR="007420A8" w:rsidRPr="002402EB" w:rsidRDefault="007420A8" w:rsidP="002402EB">
      <w:pPr>
        <w:numPr>
          <w:ilvl w:val="1"/>
          <w:numId w:val="10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Muebles y Cocinas:</w:t>
      </w:r>
      <w:r w:rsidRPr="002402EB">
        <w:rPr>
          <w:rFonts w:ascii="Cambria" w:hAnsi="Cambria"/>
        </w:rPr>
        <w:t xml:space="preserve"> Recuperación del sector. Inconveniente principal: plazos de entrega (5 meses).</w:t>
      </w:r>
    </w:p>
    <w:p w14:paraId="0DC5C781" w14:textId="59DEFA5F" w:rsidR="007420A8" w:rsidRPr="002402EB" w:rsidRDefault="007420A8" w:rsidP="002402EB">
      <w:pPr>
        <w:numPr>
          <w:ilvl w:val="1"/>
          <w:numId w:val="10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Viajes:</w:t>
      </w:r>
      <w:r w:rsidRPr="002402EB">
        <w:rPr>
          <w:rFonts w:ascii="Cambria" w:hAnsi="Cambria"/>
        </w:rPr>
        <w:t xml:space="preserve"> Aumento del gasto (+16,8%). Canal líder: Agencias online y comparadores.</w:t>
      </w:r>
    </w:p>
    <w:p w14:paraId="77835549" w14:textId="77777777" w:rsidR="007420A8" w:rsidRPr="002402EB" w:rsidRDefault="007420A8" w:rsidP="002402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02EB">
        <w:rPr>
          <w:rFonts w:ascii="Cambria" w:hAnsi="Cambria"/>
          <w:b/>
          <w:bCs/>
          <w:color w:val="auto"/>
          <w:sz w:val="28"/>
          <w:szCs w:val="28"/>
        </w:rPr>
        <w:t>3. Estructura Comercial del Sector</w:t>
      </w:r>
    </w:p>
    <w:p w14:paraId="046BBEEB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3.1. Estructura Empresarial (DIRCE 2024)</w:t>
      </w:r>
    </w:p>
    <w:p w14:paraId="3487F857" w14:textId="77777777" w:rsidR="007420A8" w:rsidRPr="002402EB" w:rsidRDefault="007420A8" w:rsidP="002402EB">
      <w:pPr>
        <w:numPr>
          <w:ilvl w:val="0"/>
          <w:numId w:val="1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Stock de empresas:</w:t>
      </w:r>
      <w:r w:rsidRPr="002402EB">
        <w:rPr>
          <w:rFonts w:ascii="Cambria" w:hAnsi="Cambria"/>
        </w:rPr>
        <w:t xml:space="preserve"> 3.255.276 activas (-1,5%, primer descenso en 6 años).</w:t>
      </w:r>
    </w:p>
    <w:p w14:paraId="5F4EF992" w14:textId="77777777" w:rsidR="007420A8" w:rsidRPr="002402EB" w:rsidRDefault="007420A8" w:rsidP="002402EB">
      <w:pPr>
        <w:numPr>
          <w:ilvl w:val="0"/>
          <w:numId w:val="1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Por sectores:</w:t>
      </w:r>
      <w:r w:rsidRPr="002402EB">
        <w:rPr>
          <w:rFonts w:ascii="Cambria" w:hAnsi="Cambria"/>
        </w:rPr>
        <w:t xml:space="preserve"> Resto Servicios (63,3%), Comercio (19,5%), Construcción (11,8%), Industria (5,4%).</w:t>
      </w:r>
    </w:p>
    <w:p w14:paraId="73C93951" w14:textId="77777777" w:rsidR="007420A8" w:rsidRPr="002402EB" w:rsidRDefault="007420A8" w:rsidP="002402EB">
      <w:pPr>
        <w:numPr>
          <w:ilvl w:val="0"/>
          <w:numId w:val="1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Tamaño:</w:t>
      </w:r>
    </w:p>
    <w:p w14:paraId="09A8CC1E" w14:textId="77777777" w:rsidR="007420A8" w:rsidRPr="002402EB" w:rsidRDefault="007420A8" w:rsidP="002402EB">
      <w:pPr>
        <w:numPr>
          <w:ilvl w:val="1"/>
          <w:numId w:val="11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Predominio de microempresas: 81,3% tienen 2 o menos asalariados.</w:t>
      </w:r>
    </w:p>
    <w:p w14:paraId="2BAB5FC2" w14:textId="77777777" w:rsidR="007420A8" w:rsidRPr="002402EB" w:rsidRDefault="007420A8" w:rsidP="002402EB">
      <w:pPr>
        <w:numPr>
          <w:ilvl w:val="1"/>
          <w:numId w:val="11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Sin asalariados: 52,0%.</w:t>
      </w:r>
    </w:p>
    <w:p w14:paraId="68856C8B" w14:textId="77777777" w:rsidR="007420A8" w:rsidRPr="002402EB" w:rsidRDefault="007420A8" w:rsidP="002402EB">
      <w:pPr>
        <w:numPr>
          <w:ilvl w:val="0"/>
          <w:numId w:val="11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Edad y Forma Jurídica:</w:t>
      </w:r>
    </w:p>
    <w:p w14:paraId="61A1ECE2" w14:textId="77777777" w:rsidR="007420A8" w:rsidRPr="002402EB" w:rsidRDefault="007420A8" w:rsidP="002402EB">
      <w:pPr>
        <w:numPr>
          <w:ilvl w:val="1"/>
          <w:numId w:val="11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Alta rotación (19,1% &lt;2 años). En Comercio hay un 23,6% de empresas veteranas (&gt;20 años).</w:t>
      </w:r>
    </w:p>
    <w:p w14:paraId="1C097285" w14:textId="77777777" w:rsidR="007420A8" w:rsidRPr="002402EB" w:rsidRDefault="007420A8" w:rsidP="002402EB">
      <w:pPr>
        <w:numPr>
          <w:ilvl w:val="1"/>
          <w:numId w:val="11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56,5% son Personas Físicas.</w:t>
      </w:r>
    </w:p>
    <w:p w14:paraId="317B18AE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3.2. Resultados Económicos (Encuesta Anual 2022)</w:t>
      </w:r>
    </w:p>
    <w:p w14:paraId="5A6EA62C" w14:textId="77777777" w:rsidR="007420A8" w:rsidRPr="002402EB" w:rsidRDefault="007420A8" w:rsidP="002402EB">
      <w:pPr>
        <w:numPr>
          <w:ilvl w:val="0"/>
          <w:numId w:val="1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Cifra de negocios:</w:t>
      </w:r>
      <w:r w:rsidRPr="002402EB">
        <w:rPr>
          <w:rFonts w:ascii="Cambria" w:hAnsi="Cambria"/>
        </w:rPr>
        <w:t xml:space="preserve"> Aumento del 13,6%.</w:t>
      </w:r>
    </w:p>
    <w:p w14:paraId="61E9D374" w14:textId="77777777" w:rsidR="007420A8" w:rsidRPr="002402EB" w:rsidRDefault="007420A8" w:rsidP="002402EB">
      <w:pPr>
        <w:numPr>
          <w:ilvl w:val="0"/>
          <w:numId w:val="1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Distribución por subsector:</w:t>
      </w:r>
    </w:p>
    <w:p w14:paraId="6261F170" w14:textId="77777777" w:rsidR="007420A8" w:rsidRPr="002402EB" w:rsidRDefault="007420A8" w:rsidP="002402EB">
      <w:pPr>
        <w:numPr>
          <w:ilvl w:val="1"/>
          <w:numId w:val="1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Mayorista:</w:t>
      </w:r>
      <w:r w:rsidRPr="002402EB">
        <w:rPr>
          <w:rFonts w:ascii="Cambria" w:hAnsi="Cambria"/>
        </w:rPr>
        <w:t xml:space="preserve"> 60,2% facturación / 35,9% personal.</w:t>
      </w:r>
    </w:p>
    <w:p w14:paraId="62784FE5" w14:textId="77777777" w:rsidR="007420A8" w:rsidRPr="002402EB" w:rsidRDefault="007420A8" w:rsidP="002402EB">
      <w:pPr>
        <w:numPr>
          <w:ilvl w:val="1"/>
          <w:numId w:val="1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Minorista:</w:t>
      </w:r>
      <w:r w:rsidRPr="002402EB">
        <w:rPr>
          <w:rFonts w:ascii="Cambria" w:hAnsi="Cambria"/>
        </w:rPr>
        <w:t xml:space="preserve"> 30,3% facturación / 54,6% personal.</w:t>
      </w:r>
    </w:p>
    <w:p w14:paraId="3C9DE7D9" w14:textId="77777777" w:rsidR="007420A8" w:rsidRPr="002402EB" w:rsidRDefault="007420A8" w:rsidP="002402EB">
      <w:pPr>
        <w:numPr>
          <w:ilvl w:val="1"/>
          <w:numId w:val="1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Vehículos:</w:t>
      </w:r>
      <w:r w:rsidRPr="002402EB">
        <w:rPr>
          <w:rFonts w:ascii="Cambria" w:hAnsi="Cambria"/>
        </w:rPr>
        <w:t xml:space="preserve"> 9,6% facturación.</w:t>
      </w:r>
    </w:p>
    <w:p w14:paraId="10D439A4" w14:textId="77777777" w:rsidR="007420A8" w:rsidRPr="002402EB" w:rsidRDefault="007420A8" w:rsidP="002402EB">
      <w:pPr>
        <w:numPr>
          <w:ilvl w:val="0"/>
          <w:numId w:val="1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lastRenderedPageBreak/>
        <w:t>Productividad:</w:t>
      </w:r>
      <w:r w:rsidRPr="002402EB">
        <w:rPr>
          <w:rFonts w:ascii="Cambria" w:hAnsi="Cambria"/>
        </w:rPr>
        <w:t xml:space="preserve"> Más alta en mayoristas y empresas medianas. Más baja en venta ambulante y alimentación especializada.</w:t>
      </w:r>
    </w:p>
    <w:p w14:paraId="38B3F8D5" w14:textId="77777777" w:rsidR="007420A8" w:rsidRPr="002402EB" w:rsidRDefault="007420A8" w:rsidP="002402EB">
      <w:pPr>
        <w:numPr>
          <w:ilvl w:val="0"/>
          <w:numId w:val="1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Mercado:</w:t>
      </w:r>
      <w:r w:rsidRPr="002402EB">
        <w:rPr>
          <w:rFonts w:ascii="Cambria" w:hAnsi="Cambria"/>
        </w:rPr>
        <w:t xml:space="preserve"> 87,4% ventas dentro de España.</w:t>
      </w:r>
    </w:p>
    <w:p w14:paraId="0ADA0092" w14:textId="6368B800" w:rsidR="007420A8" w:rsidRPr="002402EB" w:rsidRDefault="007420A8" w:rsidP="002402EB">
      <w:pPr>
        <w:numPr>
          <w:ilvl w:val="0"/>
          <w:numId w:val="12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Concentración:</w:t>
      </w:r>
      <w:r w:rsidRPr="002402EB">
        <w:rPr>
          <w:rFonts w:ascii="Cambria" w:hAnsi="Cambria"/>
        </w:rPr>
        <w:t xml:space="preserve"> Las grandes empresas (0,1% del total) facturan el 33,9% del sector; en minorista no especializado dominan con &gt;85%.</w:t>
      </w:r>
    </w:p>
    <w:p w14:paraId="68549F4D" w14:textId="77777777" w:rsidR="007420A8" w:rsidRPr="002402EB" w:rsidRDefault="007420A8" w:rsidP="002402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02EB">
        <w:rPr>
          <w:rFonts w:ascii="Cambria" w:hAnsi="Cambria"/>
          <w:b/>
          <w:bCs/>
          <w:color w:val="auto"/>
          <w:sz w:val="28"/>
          <w:szCs w:val="28"/>
        </w:rPr>
        <w:t>4. Cambios en la Distribución Comercial</w:t>
      </w:r>
    </w:p>
    <w:p w14:paraId="11704B01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4.1. Enfoque en el Consumidor</w:t>
      </w:r>
    </w:p>
    <w:p w14:paraId="1BFA2CC6" w14:textId="77777777" w:rsidR="007420A8" w:rsidRPr="002402EB" w:rsidRDefault="007420A8" w:rsidP="002402EB">
      <w:pPr>
        <w:numPr>
          <w:ilvl w:val="0"/>
          <w:numId w:val="13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Cambio de paradigma:</w:t>
      </w:r>
      <w:r w:rsidRPr="002402EB">
        <w:rPr>
          <w:rFonts w:ascii="Cambria" w:hAnsi="Cambria"/>
        </w:rPr>
        <w:t xml:space="preserve"> Del enfoque de producto al enfoque de consumidor.</w:t>
      </w:r>
    </w:p>
    <w:p w14:paraId="67945F60" w14:textId="0417B347" w:rsidR="007420A8" w:rsidRPr="002402EB" w:rsidRDefault="007420A8" w:rsidP="002402EB">
      <w:pPr>
        <w:numPr>
          <w:ilvl w:val="0"/>
          <w:numId w:val="13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Tendencias clave:</w:t>
      </w:r>
    </w:p>
    <w:p w14:paraId="421BCF99" w14:textId="77777777" w:rsidR="007420A8" w:rsidRPr="002402EB" w:rsidRDefault="007420A8" w:rsidP="002402EB">
      <w:pPr>
        <w:numPr>
          <w:ilvl w:val="1"/>
          <w:numId w:val="13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Salud: Envejecimiento poblacional y prevención.</w:t>
      </w:r>
    </w:p>
    <w:p w14:paraId="3FF805BC" w14:textId="77777777" w:rsidR="007420A8" w:rsidRPr="002402EB" w:rsidRDefault="007420A8" w:rsidP="002402EB">
      <w:pPr>
        <w:numPr>
          <w:ilvl w:val="1"/>
          <w:numId w:val="13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Responsabilidad: Sostenibilidad social y ambiental como condición necesaria.</w:t>
      </w:r>
    </w:p>
    <w:p w14:paraId="2900DF61" w14:textId="513FD7F3" w:rsidR="007420A8" w:rsidRPr="002402EB" w:rsidRDefault="007420A8" w:rsidP="002402EB">
      <w:pPr>
        <w:numPr>
          <w:ilvl w:val="1"/>
          <w:numId w:val="13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Personalización: Adaptación a hogares unipersonale</w:t>
      </w:r>
      <w:r w:rsidR="002402EB">
        <w:rPr>
          <w:rFonts w:ascii="Cambria" w:hAnsi="Cambria"/>
        </w:rPr>
        <w:t>s e individuales.</w:t>
      </w:r>
    </w:p>
    <w:p w14:paraId="21865D2A" w14:textId="43AFD737" w:rsidR="007420A8" w:rsidRPr="002402EB" w:rsidRDefault="007420A8" w:rsidP="002402EB">
      <w:pPr>
        <w:numPr>
          <w:ilvl w:val="1"/>
          <w:numId w:val="13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 xml:space="preserve">Tiempo: Optimización por concentración urbana </w:t>
      </w:r>
    </w:p>
    <w:p w14:paraId="3AB0CE54" w14:textId="77777777" w:rsidR="007420A8" w:rsidRPr="002402EB" w:rsidRDefault="007420A8" w:rsidP="002402EB">
      <w:pPr>
        <w:numPr>
          <w:ilvl w:val="0"/>
          <w:numId w:val="13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Concepto clave:</w:t>
      </w:r>
      <w:r w:rsidRPr="002402EB">
        <w:rPr>
          <w:rFonts w:ascii="Cambria" w:hAnsi="Cambria"/>
        </w:rPr>
        <w:t xml:space="preserve"> El </w:t>
      </w:r>
      <w:r w:rsidRPr="002402EB">
        <w:rPr>
          <w:rFonts w:ascii="Cambria" w:hAnsi="Cambria"/>
          <w:u w:val="single"/>
        </w:rPr>
        <w:t>Valor Percibido</w:t>
      </w:r>
      <w:r w:rsidRPr="002402EB">
        <w:rPr>
          <w:rFonts w:ascii="Cambria" w:hAnsi="Cambria"/>
        </w:rPr>
        <w:t xml:space="preserve"> (beneficio menos coste total de tiempo/esfuerzo) es más importante que el valor entregado.</w:t>
      </w:r>
    </w:p>
    <w:p w14:paraId="2BE83D97" w14:textId="77777777" w:rsidR="007420A8" w:rsidRPr="002402EB" w:rsidRDefault="007420A8" w:rsidP="002402E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02EB">
        <w:rPr>
          <w:rFonts w:ascii="Cambria" w:hAnsi="Cambria"/>
          <w:b/>
          <w:bCs/>
          <w:color w:val="auto"/>
          <w:sz w:val="24"/>
          <w:szCs w:val="24"/>
        </w:rPr>
        <w:t>4.2. Estrategias de Adaptación</w:t>
      </w:r>
    </w:p>
    <w:p w14:paraId="078F91DE" w14:textId="77777777" w:rsidR="007420A8" w:rsidRPr="002402EB" w:rsidRDefault="007420A8" w:rsidP="002402EB">
      <w:pPr>
        <w:numPr>
          <w:ilvl w:val="0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Fabricantes:</w:t>
      </w:r>
    </w:p>
    <w:p w14:paraId="29DB941E" w14:textId="77777777" w:rsidR="007420A8" w:rsidRPr="002402EB" w:rsidRDefault="007420A8" w:rsidP="002402EB">
      <w:pPr>
        <w:numPr>
          <w:ilvl w:val="1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Diversificación de canales y mercados.</w:t>
      </w:r>
    </w:p>
    <w:p w14:paraId="67CE0BA7" w14:textId="77777777" w:rsidR="007420A8" w:rsidRPr="002402EB" w:rsidRDefault="007420A8" w:rsidP="002402EB">
      <w:pPr>
        <w:numPr>
          <w:ilvl w:val="1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Marketing relacional con distribución (</w:t>
      </w:r>
      <w:proofErr w:type="spellStart"/>
      <w:r w:rsidRPr="002402EB">
        <w:rPr>
          <w:rFonts w:ascii="Cambria" w:hAnsi="Cambria"/>
        </w:rPr>
        <w:t>Trade</w:t>
      </w:r>
      <w:proofErr w:type="spellEnd"/>
      <w:r w:rsidRPr="002402EB">
        <w:rPr>
          <w:rFonts w:ascii="Cambria" w:hAnsi="Cambria"/>
        </w:rPr>
        <w:t xml:space="preserve"> Marketing).</w:t>
      </w:r>
    </w:p>
    <w:p w14:paraId="66A1EDD1" w14:textId="77777777" w:rsidR="007420A8" w:rsidRPr="002402EB" w:rsidRDefault="007420A8" w:rsidP="002402EB">
      <w:pPr>
        <w:numPr>
          <w:ilvl w:val="1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Integración hacia delante (venta directa/e-</w:t>
      </w:r>
      <w:proofErr w:type="spellStart"/>
      <w:r w:rsidRPr="002402EB">
        <w:rPr>
          <w:rFonts w:ascii="Cambria" w:hAnsi="Cambria"/>
        </w:rPr>
        <w:t>commerce</w:t>
      </w:r>
      <w:proofErr w:type="spellEnd"/>
      <w:r w:rsidRPr="002402EB">
        <w:rPr>
          <w:rFonts w:ascii="Cambria" w:hAnsi="Cambria"/>
        </w:rPr>
        <w:t>).</w:t>
      </w:r>
    </w:p>
    <w:p w14:paraId="6D2D5732" w14:textId="77777777" w:rsidR="007420A8" w:rsidRPr="002402EB" w:rsidRDefault="007420A8" w:rsidP="002402EB">
      <w:pPr>
        <w:numPr>
          <w:ilvl w:val="0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Distribuidores:</w:t>
      </w:r>
    </w:p>
    <w:p w14:paraId="7F77050F" w14:textId="77777777" w:rsidR="007420A8" w:rsidRPr="002402EB" w:rsidRDefault="007420A8" w:rsidP="002402EB">
      <w:pPr>
        <w:numPr>
          <w:ilvl w:val="1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Rol innovador: Marca de distribuidor (marca blanca) entra en segmentos de valor (ej. ecológicos).</w:t>
      </w:r>
    </w:p>
    <w:p w14:paraId="1409FFDF" w14:textId="797F3BFC" w:rsidR="007420A8" w:rsidRPr="002402EB" w:rsidRDefault="007420A8" w:rsidP="002402EB">
      <w:pPr>
        <w:numPr>
          <w:ilvl w:val="1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Auge Online: Impulsado por nuevas generaciones (</w:t>
      </w:r>
      <w:proofErr w:type="spellStart"/>
      <w:r w:rsidRPr="002402EB">
        <w:rPr>
          <w:rFonts w:ascii="Cambria" w:hAnsi="Cambria"/>
        </w:rPr>
        <w:t>Millennials</w:t>
      </w:r>
      <w:proofErr w:type="spellEnd"/>
      <w:r w:rsidRPr="002402EB">
        <w:rPr>
          <w:rFonts w:ascii="Cambria" w:hAnsi="Cambria"/>
        </w:rPr>
        <w:t>, Z).</w:t>
      </w:r>
    </w:p>
    <w:p w14:paraId="5EA9C562" w14:textId="77777777" w:rsidR="007420A8" w:rsidRPr="002402EB" w:rsidRDefault="007420A8" w:rsidP="002402EB">
      <w:pPr>
        <w:numPr>
          <w:ilvl w:val="1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  <w:u w:val="single"/>
        </w:rPr>
        <w:t>Omnicanalidad</w:t>
      </w:r>
      <w:r w:rsidRPr="002402EB">
        <w:rPr>
          <w:rFonts w:ascii="Cambria" w:hAnsi="Cambria"/>
          <w:b/>
          <w:bCs/>
        </w:rPr>
        <w:t>:</w:t>
      </w:r>
      <w:r w:rsidRPr="002402EB">
        <w:rPr>
          <w:rFonts w:ascii="Cambria" w:hAnsi="Cambria"/>
        </w:rPr>
        <w:t xml:space="preserve"> Integración sin fricción del mundo físico (experiencia) y online (conveniencia).</w:t>
      </w:r>
    </w:p>
    <w:p w14:paraId="3206235C" w14:textId="77777777" w:rsidR="007420A8" w:rsidRPr="002402EB" w:rsidRDefault="007420A8" w:rsidP="002402EB">
      <w:pPr>
        <w:numPr>
          <w:ilvl w:val="0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  <w:b/>
          <w:bCs/>
        </w:rPr>
        <w:t>Nuevos Actores:</w:t>
      </w:r>
    </w:p>
    <w:p w14:paraId="30874356" w14:textId="7F1FD304" w:rsidR="007420A8" w:rsidRPr="002402EB" w:rsidRDefault="007420A8" w:rsidP="002402EB">
      <w:pPr>
        <w:numPr>
          <w:ilvl w:val="1"/>
          <w:numId w:val="14"/>
        </w:numPr>
        <w:jc w:val="both"/>
        <w:rPr>
          <w:rFonts w:ascii="Cambria" w:hAnsi="Cambria"/>
        </w:rPr>
      </w:pPr>
      <w:r w:rsidRPr="002402EB">
        <w:rPr>
          <w:rFonts w:ascii="Cambria" w:hAnsi="Cambria"/>
        </w:rPr>
        <w:t>Entrada de Amazon (frescos, entrega rápida) transformando el sector.</w:t>
      </w:r>
    </w:p>
    <w:p w14:paraId="502EF596" w14:textId="77777777" w:rsidR="007420A8" w:rsidRPr="002402EB" w:rsidRDefault="007420A8" w:rsidP="002402E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02EB">
        <w:rPr>
          <w:rFonts w:ascii="Cambria" w:hAnsi="Cambria"/>
          <w:b/>
          <w:bCs/>
          <w:color w:val="auto"/>
          <w:sz w:val="28"/>
          <w:szCs w:val="28"/>
        </w:rPr>
        <w:lastRenderedPageBreak/>
        <w:t>5. Apoyo Institucional y Conclusión</w:t>
      </w:r>
    </w:p>
    <w:p w14:paraId="0D106F91" w14:textId="48864ABE" w:rsidR="00A65383" w:rsidRPr="002402EB" w:rsidRDefault="007420A8" w:rsidP="002402EB">
      <w:pPr>
        <w:jc w:val="both"/>
        <w:rPr>
          <w:rFonts w:ascii="Cambria" w:hAnsi="Cambria"/>
        </w:rPr>
      </w:pPr>
      <w:r w:rsidRPr="002402EB">
        <w:rPr>
          <w:rFonts w:ascii="Cambria" w:hAnsi="Cambria"/>
        </w:rPr>
        <w:t>Planes de Apoyo a la Competitividad del Comercio Minorista (2013-2024)</w:t>
      </w:r>
    </w:p>
    <w:sectPr w:rsidR="00A65383" w:rsidRPr="002402E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032B" w14:textId="77777777" w:rsidR="007420A8" w:rsidRDefault="007420A8" w:rsidP="007420A8">
      <w:pPr>
        <w:spacing w:after="0" w:line="240" w:lineRule="auto"/>
      </w:pPr>
      <w:r>
        <w:separator/>
      </w:r>
    </w:p>
  </w:endnote>
  <w:endnote w:type="continuationSeparator" w:id="0">
    <w:p w14:paraId="0DE465F4" w14:textId="77777777" w:rsidR="007420A8" w:rsidRDefault="007420A8" w:rsidP="00742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525A4" w14:textId="77777777" w:rsidR="007420A8" w:rsidRDefault="007420A8" w:rsidP="007420A8">
      <w:pPr>
        <w:spacing w:after="0" w:line="240" w:lineRule="auto"/>
      </w:pPr>
      <w:r>
        <w:separator/>
      </w:r>
    </w:p>
  </w:footnote>
  <w:footnote w:type="continuationSeparator" w:id="0">
    <w:p w14:paraId="3451651C" w14:textId="77777777" w:rsidR="007420A8" w:rsidRDefault="007420A8" w:rsidP="00742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6D9B0" w14:textId="624CF802" w:rsidR="007420A8" w:rsidRPr="007420A8" w:rsidRDefault="007420A8" w:rsidP="007420A8">
    <w:pPr>
      <w:pStyle w:val="Encabezado"/>
      <w:jc w:val="both"/>
      <w:rPr>
        <w:rFonts w:ascii="Palatino Linotype" w:hAnsi="Palatino Linotype"/>
        <w:i/>
        <w:iCs/>
      </w:rPr>
    </w:pPr>
    <w:r w:rsidRPr="007420A8">
      <w:rPr>
        <w:rFonts w:ascii="Palatino Linotype" w:hAnsi="Palatino Linotype"/>
        <w:b/>
        <w:bCs/>
        <w:i/>
        <w:iCs/>
      </w:rPr>
      <w:t>TEMA 16 -</w:t>
    </w:r>
    <w:r w:rsidRPr="007420A8">
      <w:rPr>
        <w:rFonts w:ascii="Palatino Linotype" w:hAnsi="Palatino Linotype"/>
        <w:i/>
        <w:iCs/>
      </w:rPr>
      <w:t xml:space="preserve"> El marco económico de la distribución comercial. Estructura del sector. Cambios en la distribución comercial.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A01"/>
    <w:multiLevelType w:val="multilevel"/>
    <w:tmpl w:val="D24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7598"/>
    <w:multiLevelType w:val="multilevel"/>
    <w:tmpl w:val="0E9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3651D"/>
    <w:multiLevelType w:val="multilevel"/>
    <w:tmpl w:val="AF8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547E7"/>
    <w:multiLevelType w:val="hybridMultilevel"/>
    <w:tmpl w:val="721404F2"/>
    <w:lvl w:ilvl="0" w:tplc="075EE2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47098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6E9E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B9EDC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140B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283B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EA00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E5039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F4884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E0790"/>
    <w:multiLevelType w:val="multilevel"/>
    <w:tmpl w:val="C20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D03F3"/>
    <w:multiLevelType w:val="multilevel"/>
    <w:tmpl w:val="46AA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0E8B"/>
    <w:multiLevelType w:val="multilevel"/>
    <w:tmpl w:val="45BE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A4EF6"/>
    <w:multiLevelType w:val="multilevel"/>
    <w:tmpl w:val="F23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41DE4"/>
    <w:multiLevelType w:val="multilevel"/>
    <w:tmpl w:val="C04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463B4"/>
    <w:multiLevelType w:val="hybridMultilevel"/>
    <w:tmpl w:val="7D88523C"/>
    <w:lvl w:ilvl="0" w:tplc="616281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87CC3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8C41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86EB3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EA27D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5E204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2C78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C4A05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18CCA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444F2"/>
    <w:multiLevelType w:val="multilevel"/>
    <w:tmpl w:val="5B4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63435"/>
    <w:multiLevelType w:val="multilevel"/>
    <w:tmpl w:val="0B1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0191B"/>
    <w:multiLevelType w:val="multilevel"/>
    <w:tmpl w:val="B78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46E66"/>
    <w:multiLevelType w:val="multilevel"/>
    <w:tmpl w:val="193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16229">
    <w:abstractNumId w:val="6"/>
  </w:num>
  <w:num w:numId="2" w16cid:durableId="1018192928">
    <w:abstractNumId w:val="2"/>
  </w:num>
  <w:num w:numId="3" w16cid:durableId="1681857309">
    <w:abstractNumId w:val="10"/>
  </w:num>
  <w:num w:numId="4" w16cid:durableId="29734438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20161859">
    <w:abstractNumId w:val="0"/>
  </w:num>
  <w:num w:numId="6" w16cid:durableId="1120608011">
    <w:abstractNumId w:val="12"/>
  </w:num>
  <w:num w:numId="7" w16cid:durableId="1707175277">
    <w:abstractNumId w:val="3"/>
  </w:num>
  <w:num w:numId="8" w16cid:durableId="726415872">
    <w:abstractNumId w:val="8"/>
  </w:num>
  <w:num w:numId="9" w16cid:durableId="943684786">
    <w:abstractNumId w:val="9"/>
  </w:num>
  <w:num w:numId="10" w16cid:durableId="1879467071">
    <w:abstractNumId w:val="13"/>
  </w:num>
  <w:num w:numId="11" w16cid:durableId="339160565">
    <w:abstractNumId w:val="1"/>
  </w:num>
  <w:num w:numId="12" w16cid:durableId="1466268711">
    <w:abstractNumId w:val="7"/>
  </w:num>
  <w:num w:numId="13" w16cid:durableId="502664056">
    <w:abstractNumId w:val="5"/>
  </w:num>
  <w:num w:numId="14" w16cid:durableId="1041780977">
    <w:abstractNumId w:val="4"/>
  </w:num>
  <w:num w:numId="15" w16cid:durableId="1002202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A8"/>
    <w:rsid w:val="00052A9B"/>
    <w:rsid w:val="002402EB"/>
    <w:rsid w:val="005803BC"/>
    <w:rsid w:val="007420A8"/>
    <w:rsid w:val="00842711"/>
    <w:rsid w:val="00A65383"/>
    <w:rsid w:val="00A8675C"/>
    <w:rsid w:val="00BA24A8"/>
    <w:rsid w:val="00C1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AD909"/>
  <w15:chartTrackingRefBased/>
  <w15:docId w15:val="{F34863B0-54F5-45FD-911D-41BB8037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42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2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0A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42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0A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20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20A8"/>
  </w:style>
  <w:style w:type="paragraph" w:styleId="Piedepgina">
    <w:name w:val="footer"/>
    <w:basedOn w:val="Normal"/>
    <w:link w:val="PiedepginaCar"/>
    <w:uiPriority w:val="99"/>
    <w:unhideWhenUsed/>
    <w:rsid w:val="007420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2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914</Words>
  <Characters>5698</Characters>
  <Application>Microsoft Office Word</Application>
  <DocSecurity>0</DocSecurity>
  <Lines>154</Lines>
  <Paragraphs>127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2025-12-15T18:50:00Z</dcterms:created>
  <dcterms:modified xsi:type="dcterms:W3CDTF">2026-01-16T17:51:00Z</dcterms:modified>
</cp:coreProperties>
</file>