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1005" w14:textId="77777777" w:rsidR="00C06E6B" w:rsidRPr="003C1885" w:rsidRDefault="00C06E6B" w:rsidP="003C1885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1. Introducción</w:t>
      </w:r>
    </w:p>
    <w:p w14:paraId="07EB8D2D" w14:textId="25F79566" w:rsidR="00C06E6B" w:rsidRPr="003C1885" w:rsidRDefault="00C06E6B" w:rsidP="003C1885">
      <w:pPr>
        <w:numPr>
          <w:ilvl w:val="0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Definición de Distribución Comercial:</w:t>
      </w:r>
      <w:r w:rsidRPr="003C1885">
        <w:rPr>
          <w:rFonts w:ascii="Cambria" w:hAnsi="Cambria"/>
        </w:rPr>
        <w:t xml:space="preserve"> Actividad que salva el bache entre producción y consumo, moviendo mercancías desde donde son menos necesarias a donde son más necesarias.</w:t>
      </w:r>
    </w:p>
    <w:p w14:paraId="7293A67A" w14:textId="77777777" w:rsidR="00C06E6B" w:rsidRPr="003C1885" w:rsidRDefault="00C06E6B" w:rsidP="003C1885">
      <w:pPr>
        <w:numPr>
          <w:ilvl w:val="0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Clasificación Sectorial:</w:t>
      </w:r>
    </w:p>
    <w:p w14:paraId="256679D4" w14:textId="2DC7B296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Pertenece al sector Servicios.</w:t>
      </w:r>
    </w:p>
    <w:p w14:paraId="675C75E2" w14:textId="46AF06C9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Según CNAE incluye: vehículos a motor, combustibles, comercio al por mayor y al por menor.</w:t>
      </w:r>
    </w:p>
    <w:p w14:paraId="61233DF6" w14:textId="77777777" w:rsidR="00C06E6B" w:rsidRPr="003C1885" w:rsidRDefault="00C06E6B" w:rsidP="003C1885">
      <w:pPr>
        <w:numPr>
          <w:ilvl w:val="0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Factores de transformación:</w:t>
      </w:r>
    </w:p>
    <w:p w14:paraId="200CDE8F" w14:textId="0E423744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Socioeconómicos</w:t>
      </w:r>
      <w:r w:rsidRPr="003C1885">
        <w:rPr>
          <w:rFonts w:ascii="Cambria" w:hAnsi="Cambria"/>
        </w:rPr>
        <w:t>: Aumento del poder adquisitivo, incorporación de la mujer al trabajo, reducción del tamaño familiar, cultura del ocio, crecimiento de periferias, aumento del parque automovilístico.</w:t>
      </w:r>
    </w:p>
    <w:p w14:paraId="28C2E5C6" w14:textId="76983096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Tecnológicos</w:t>
      </w:r>
      <w:r w:rsidRPr="003C1885">
        <w:rPr>
          <w:rFonts w:ascii="Cambria" w:hAnsi="Cambria"/>
        </w:rPr>
        <w:t>: TIC, e-</w:t>
      </w:r>
      <w:proofErr w:type="spellStart"/>
      <w:r w:rsidRPr="003C1885">
        <w:rPr>
          <w:rFonts w:ascii="Cambria" w:hAnsi="Cambria"/>
        </w:rPr>
        <w:t>commerce</w:t>
      </w:r>
      <w:proofErr w:type="spellEnd"/>
      <w:r w:rsidRPr="003C1885">
        <w:rPr>
          <w:rFonts w:ascii="Cambria" w:hAnsi="Cambria"/>
        </w:rPr>
        <w:t>, transporte, técnicas de conservación y empaquetado.</w:t>
      </w:r>
    </w:p>
    <w:p w14:paraId="57F59DE4" w14:textId="77777777" w:rsidR="00C06E6B" w:rsidRPr="003C1885" w:rsidRDefault="00C06E6B" w:rsidP="003C1885">
      <w:pPr>
        <w:numPr>
          <w:ilvl w:val="0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Datos Económicos (España 2023/2024):</w:t>
      </w:r>
    </w:p>
    <w:p w14:paraId="04B7202E" w14:textId="0242D55E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Comercio</w:t>
      </w:r>
      <w:r w:rsidRPr="003C1885">
        <w:rPr>
          <w:rFonts w:ascii="Cambria" w:hAnsi="Cambria"/>
        </w:rPr>
        <w:t xml:space="preserve"> total: ~12,5% del PIB y VAB.</w:t>
      </w:r>
    </w:p>
    <w:p w14:paraId="005A2ADB" w14:textId="73FA8A1E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Comercio minorista</w:t>
      </w:r>
      <w:r w:rsidRPr="003C1885">
        <w:rPr>
          <w:rFonts w:ascii="Cambria" w:hAnsi="Cambria"/>
        </w:rPr>
        <w:t>: 5,0% del PIB (frente al 5,2% de 2019).</w:t>
      </w:r>
    </w:p>
    <w:p w14:paraId="1E2AB222" w14:textId="0784ECB2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Empleo (3T 2024):</w:t>
      </w:r>
      <w:r w:rsidRPr="003C1885">
        <w:rPr>
          <w:rFonts w:ascii="Cambria" w:hAnsi="Cambria"/>
        </w:rPr>
        <w:t xml:space="preserve"> 3.154.300 ocupados en el sector Comercio; 2.031.900 en minorista (9,3% del total ocupados).</w:t>
      </w:r>
    </w:p>
    <w:p w14:paraId="67007A06" w14:textId="6DE326A1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Empresas</w:t>
      </w:r>
      <w:r w:rsidRPr="003C1885">
        <w:rPr>
          <w:rFonts w:ascii="Cambria" w:hAnsi="Cambria"/>
        </w:rPr>
        <w:t>: 646.339 empresas de comercio (20,2% del total).</w:t>
      </w:r>
    </w:p>
    <w:p w14:paraId="18561ED6" w14:textId="4A41824B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u w:val="single"/>
        </w:rPr>
        <w:t>Tendencia</w:t>
      </w:r>
      <w:r w:rsidRPr="003C1885">
        <w:rPr>
          <w:rFonts w:ascii="Cambria" w:hAnsi="Cambria"/>
        </w:rPr>
        <w:t>: Pérdida de peso del trabajo autónomo frente a grandes empresas y trabajo por cuenta ajena.</w:t>
      </w:r>
    </w:p>
    <w:p w14:paraId="3AE9A560" w14:textId="77777777" w:rsidR="00C06E6B" w:rsidRPr="003C1885" w:rsidRDefault="00C06E6B" w:rsidP="003C1885">
      <w:pPr>
        <w:numPr>
          <w:ilvl w:val="0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Evolución reciente:</w:t>
      </w:r>
    </w:p>
    <w:p w14:paraId="307A1F1B" w14:textId="31E80508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Recuperación 2015-2019 tras la crisis de 2008.</w:t>
      </w:r>
    </w:p>
    <w:p w14:paraId="5808105F" w14:textId="39592C09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Impacto COVID-19 (2020): Caídas de facturación del 35-40%.</w:t>
      </w:r>
    </w:p>
    <w:p w14:paraId="4868E3E1" w14:textId="3AD53C26" w:rsidR="00C06E6B" w:rsidRPr="003C1885" w:rsidRDefault="00C06E6B" w:rsidP="003C1885">
      <w:pPr>
        <w:numPr>
          <w:ilvl w:val="1"/>
          <w:numId w:val="1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Recuperación del terreno perdido hacia finales de 2024.</w:t>
      </w:r>
    </w:p>
    <w:p w14:paraId="7AFB00A2" w14:textId="77777777" w:rsidR="00C06E6B" w:rsidRPr="003C1885" w:rsidRDefault="00C06E6B" w:rsidP="003C1885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2. La Ordenación del Comercio Minorista</w:t>
      </w:r>
    </w:p>
    <w:p w14:paraId="0A543526" w14:textId="10BE2ED6" w:rsidR="00C06E6B" w:rsidRPr="003C1885" w:rsidRDefault="00C06E6B" w:rsidP="003C1885">
      <w:pPr>
        <w:numPr>
          <w:ilvl w:val="0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Marco Normativo:</w:t>
      </w:r>
      <w:r w:rsidRPr="003C1885">
        <w:rPr>
          <w:rFonts w:ascii="Cambria" w:hAnsi="Cambria"/>
        </w:rPr>
        <w:t xml:space="preserve"> Tres fuentes principales: europea, estatal y autonómica.</w:t>
      </w:r>
    </w:p>
    <w:p w14:paraId="5B87B4AA" w14:textId="77777777" w:rsidR="00C06E6B" w:rsidRPr="003C1885" w:rsidRDefault="00C06E6B" w:rsidP="003C1885">
      <w:pPr>
        <w:numPr>
          <w:ilvl w:val="0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Base Constitucional (CE 1978):</w:t>
      </w:r>
    </w:p>
    <w:p w14:paraId="002AD100" w14:textId="01266AC4" w:rsidR="00C06E6B" w:rsidRPr="003C1885" w:rsidRDefault="00C06E6B" w:rsidP="003C1885">
      <w:pPr>
        <w:numPr>
          <w:ilvl w:val="1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Artículo 51.1: Poderes públicos garantizarán defensa de consumidores (seguridad, salud, intereses económicos).</w:t>
      </w:r>
    </w:p>
    <w:p w14:paraId="05A0AE6B" w14:textId="1294DCBB" w:rsidR="00C06E6B" w:rsidRPr="003C1885" w:rsidRDefault="00C06E6B" w:rsidP="003C1885">
      <w:pPr>
        <w:numPr>
          <w:ilvl w:val="1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lastRenderedPageBreak/>
        <w:t>Regulación del comercio interior y régimen de autorización por Ley.</w:t>
      </w:r>
    </w:p>
    <w:p w14:paraId="004FE1F1" w14:textId="77777777" w:rsidR="00C06E6B" w:rsidRPr="003C1885" w:rsidRDefault="00C06E6B" w:rsidP="003C1885">
      <w:pPr>
        <w:numPr>
          <w:ilvl w:val="0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Competencias:</w:t>
      </w:r>
    </w:p>
    <w:p w14:paraId="139B9CB4" w14:textId="26C15246" w:rsidR="00C06E6B" w:rsidRPr="003C1885" w:rsidRDefault="00C06E6B" w:rsidP="003C1885">
      <w:pPr>
        <w:numPr>
          <w:ilvl w:val="1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Estado: Legislación civil/mercantil, bases de la economía.</w:t>
      </w:r>
    </w:p>
    <w:p w14:paraId="53D750E4" w14:textId="3C56C231" w:rsidR="00C06E6B" w:rsidRPr="003C1885" w:rsidRDefault="00C06E6B" w:rsidP="003C1885">
      <w:pPr>
        <w:numPr>
          <w:ilvl w:val="1"/>
          <w:numId w:val="2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CCAA: Comercio interior (competencias exclusivas asumidas en Estatutos tras reformas 1996-1999).</w:t>
      </w:r>
    </w:p>
    <w:p w14:paraId="06472879" w14:textId="77777777" w:rsidR="00C06E6B" w:rsidRPr="003C1885" w:rsidRDefault="00C06E6B" w:rsidP="003C1885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3. Normativa Europea</w:t>
      </w:r>
    </w:p>
    <w:p w14:paraId="72E84B99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 xml:space="preserve">3.1. Directiva 2006/123/CE (Directiva de Servicios / </w:t>
      </w:r>
      <w:proofErr w:type="spellStart"/>
      <w:r w:rsidRPr="003C1885">
        <w:rPr>
          <w:rFonts w:ascii="Cambria" w:hAnsi="Cambria"/>
          <w:b/>
          <w:bCs/>
          <w:color w:val="auto"/>
          <w:sz w:val="24"/>
          <w:szCs w:val="24"/>
        </w:rPr>
        <w:t>Bolkestein</w:t>
      </w:r>
      <w:proofErr w:type="spellEnd"/>
      <w:r w:rsidRPr="003C1885">
        <w:rPr>
          <w:rFonts w:ascii="Cambria" w:hAnsi="Cambria"/>
          <w:b/>
          <w:bCs/>
          <w:color w:val="auto"/>
          <w:sz w:val="24"/>
          <w:szCs w:val="24"/>
        </w:rPr>
        <w:t>)</w:t>
      </w:r>
    </w:p>
    <w:p w14:paraId="54A91BC6" w14:textId="19EBDD58" w:rsidR="00C06E6B" w:rsidRPr="003C1885" w:rsidRDefault="00C06E6B" w:rsidP="003C1885">
      <w:pPr>
        <w:numPr>
          <w:ilvl w:val="0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Objetivo:</w:t>
      </w:r>
      <w:r w:rsidRPr="003C1885">
        <w:rPr>
          <w:rFonts w:ascii="Cambria" w:hAnsi="Cambria"/>
        </w:rPr>
        <w:t xml:space="preserve"> Mercado Interior de servicios, facilitar libertad de establecimiento y circulación de servicios.</w:t>
      </w:r>
    </w:p>
    <w:p w14:paraId="769B6A0C" w14:textId="77777777" w:rsidR="00C06E6B" w:rsidRPr="003C1885" w:rsidRDefault="00C06E6B" w:rsidP="003C1885">
      <w:pPr>
        <w:numPr>
          <w:ilvl w:val="0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Transposición en España:</w:t>
      </w:r>
    </w:p>
    <w:p w14:paraId="43403683" w14:textId="2993EE78" w:rsidR="00C06E6B" w:rsidRPr="003C1885" w:rsidRDefault="00C06E6B" w:rsidP="003C1885">
      <w:pPr>
        <w:numPr>
          <w:ilvl w:val="1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Ley 17/2009 ("Paraguas"): Libre acceso a actividades.</w:t>
      </w:r>
    </w:p>
    <w:p w14:paraId="117805A7" w14:textId="739497FB" w:rsidR="00C06E6B" w:rsidRPr="003C1885" w:rsidRDefault="00C06E6B" w:rsidP="003C1885">
      <w:pPr>
        <w:numPr>
          <w:ilvl w:val="1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Ley 25/2009 ("Ómnibus"): Modificación de diversas leyes (ventanilla única, eliminación de autorizaciones).</w:t>
      </w:r>
    </w:p>
    <w:p w14:paraId="447D84C6" w14:textId="77777777" w:rsidR="00C06E6B" w:rsidRPr="003C1885" w:rsidRDefault="00C06E6B" w:rsidP="003C1885">
      <w:pPr>
        <w:numPr>
          <w:ilvl w:val="0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Impacto en Comercio:</w:t>
      </w:r>
    </w:p>
    <w:p w14:paraId="1E5B871C" w14:textId="1A48D2DB" w:rsidR="00C06E6B" w:rsidRPr="003C1885" w:rsidRDefault="00C06E6B" w:rsidP="003C1885">
      <w:pPr>
        <w:numPr>
          <w:ilvl w:val="1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Instalación de establecimientos no sujeta a autorización general.</w:t>
      </w:r>
    </w:p>
    <w:p w14:paraId="385AF538" w14:textId="50F0F96A" w:rsidR="00C06E6B" w:rsidRPr="003C1885" w:rsidRDefault="00C06E6B" w:rsidP="003C1885">
      <w:pPr>
        <w:numPr>
          <w:ilvl w:val="1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Excepciones permitidas por razones imperiosas de interés general (orden público, medio ambiente), no discriminatorias y proporcionadas.</w:t>
      </w:r>
    </w:p>
    <w:p w14:paraId="147E3A17" w14:textId="75CE25BE" w:rsidR="00C06E6B" w:rsidRPr="003C1885" w:rsidRDefault="00C06E6B" w:rsidP="003C1885">
      <w:pPr>
        <w:numPr>
          <w:ilvl w:val="1"/>
          <w:numId w:val="3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Principio del país de origen.</w:t>
      </w:r>
    </w:p>
    <w:p w14:paraId="4987488A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3.2. Otras Directivas Relevantes</w:t>
      </w:r>
    </w:p>
    <w:p w14:paraId="65F6BB36" w14:textId="6854B256" w:rsidR="00C06E6B" w:rsidRPr="003C1885" w:rsidRDefault="00C06E6B" w:rsidP="003C1885">
      <w:pPr>
        <w:numPr>
          <w:ilvl w:val="0"/>
          <w:numId w:val="4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Directiva 2005/29/CE (Prácticas comerciales desleales):</w:t>
      </w:r>
      <w:r w:rsidRPr="003C1885">
        <w:rPr>
          <w:rFonts w:ascii="Cambria" w:hAnsi="Cambria"/>
        </w:rPr>
        <w:t xml:space="preserve"> Protección del consumidor frente a comercio desleal. Modificada por Directiva (UE) 2019/2161 y 2024/825 (transición ecológica).</w:t>
      </w:r>
    </w:p>
    <w:p w14:paraId="4578E1BB" w14:textId="0B074CB8" w:rsidR="00C06E6B" w:rsidRPr="003C1885" w:rsidRDefault="00C06E6B" w:rsidP="003C1885">
      <w:pPr>
        <w:numPr>
          <w:ilvl w:val="0"/>
          <w:numId w:val="4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Directiva 2006/114/CE (Publicidad):</w:t>
      </w:r>
      <w:r w:rsidRPr="003C1885">
        <w:rPr>
          <w:rFonts w:ascii="Cambria" w:hAnsi="Cambria"/>
        </w:rPr>
        <w:t xml:space="preserve"> Regula publicidad engañosa y comparativa.</w:t>
      </w:r>
    </w:p>
    <w:p w14:paraId="497897FA" w14:textId="317F8646" w:rsidR="00C06E6B" w:rsidRPr="003C1885" w:rsidRDefault="00C06E6B" w:rsidP="003C1885">
      <w:pPr>
        <w:numPr>
          <w:ilvl w:val="0"/>
          <w:numId w:val="4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Directiva (UE) 2015/2366 (Servicios de pago - PSD2):</w:t>
      </w:r>
      <w:r w:rsidRPr="003C1885">
        <w:rPr>
          <w:rFonts w:ascii="Cambria" w:hAnsi="Cambria"/>
        </w:rPr>
        <w:t xml:space="preserve"> Seguridad en pagos electrónicos, derogó la Directiva 2007/64/CE.</w:t>
      </w:r>
    </w:p>
    <w:p w14:paraId="326B31E1" w14:textId="6644FCD7" w:rsidR="00C06E6B" w:rsidRPr="003C1885" w:rsidRDefault="00C06E6B" w:rsidP="003C1885">
      <w:pPr>
        <w:numPr>
          <w:ilvl w:val="0"/>
          <w:numId w:val="4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Directiva (UE) 2023/2225 (Crédito al consumo):</w:t>
      </w:r>
      <w:r w:rsidRPr="003C1885">
        <w:rPr>
          <w:rFonts w:ascii="Cambria" w:hAnsi="Cambria"/>
        </w:rPr>
        <w:t xml:space="preserve"> Deroga la Directiva 2008/48/CE. Armonización para contratación transfronteriza y protección al consumidor (información precontractual).</w:t>
      </w:r>
    </w:p>
    <w:p w14:paraId="55655955" w14:textId="77777777" w:rsidR="00C06E6B" w:rsidRPr="003C1885" w:rsidRDefault="00C06E6B" w:rsidP="003C1885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lastRenderedPageBreak/>
        <w:t>4. Normativa Estatal</w:t>
      </w:r>
    </w:p>
    <w:p w14:paraId="2C20EE7E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4.1. Ley 7/1996 de Ordenación del Comercio Minorista (LOCM)</w:t>
      </w:r>
    </w:p>
    <w:p w14:paraId="066A1EBC" w14:textId="77777777" w:rsidR="00C06E6B" w:rsidRPr="003C1885" w:rsidRDefault="00C06E6B" w:rsidP="003C1885">
      <w:pPr>
        <w:numPr>
          <w:ilvl w:val="0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Principios Generales (Título I):</w:t>
      </w:r>
    </w:p>
    <w:p w14:paraId="3029C64C" w14:textId="6C8DB914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Garantía y servicio postventa obligatorios.</w:t>
      </w:r>
    </w:p>
    <w:p w14:paraId="4DA92DB2" w14:textId="0E1AC272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Libertad de precios.</w:t>
      </w:r>
    </w:p>
    <w:p w14:paraId="6E4AE891" w14:textId="2B5A1ACE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 xml:space="preserve">Venta con pérdida: Prohibida si es desleal (induce a error, desacredita, elimina competidor). Tras sentencia TJUE (caso </w:t>
      </w:r>
      <w:proofErr w:type="spellStart"/>
      <w:r w:rsidRPr="003C1885">
        <w:rPr>
          <w:rFonts w:ascii="Cambria" w:hAnsi="Cambria"/>
        </w:rPr>
        <w:t>Europamur</w:t>
      </w:r>
      <w:proofErr w:type="spellEnd"/>
      <w:r w:rsidRPr="003C1885">
        <w:rPr>
          <w:rFonts w:ascii="Cambria" w:hAnsi="Cambria"/>
        </w:rPr>
        <w:t>), la deslealtad se determina caso por caso; no caben prohibiciones generales.</w:t>
      </w:r>
    </w:p>
    <w:p w14:paraId="4AC8F9E3" w14:textId="77777777" w:rsidR="00C06E6B" w:rsidRPr="003C1885" w:rsidRDefault="00C06E6B" w:rsidP="003C1885">
      <w:pPr>
        <w:numPr>
          <w:ilvl w:val="0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Promoción de Ventas (Título II):</w:t>
      </w:r>
    </w:p>
    <w:p w14:paraId="1B275302" w14:textId="68946B32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Rebajas: Prohibido ofertar productos deteriorados. Libertad de periodos y duración (decisión del comerciante).</w:t>
      </w:r>
    </w:p>
    <w:p w14:paraId="4EA82986" w14:textId="7D8BD610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Liberalización de promociones simultáneas (RDL 20/2012).</w:t>
      </w:r>
    </w:p>
    <w:p w14:paraId="244DE38E" w14:textId="77777777" w:rsidR="00C06E6B" w:rsidRPr="003C1885" w:rsidRDefault="00C06E6B" w:rsidP="003C1885">
      <w:pPr>
        <w:numPr>
          <w:ilvl w:val="0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Ventas Especiales (Título III):</w:t>
      </w:r>
    </w:p>
    <w:p w14:paraId="5B1F8B50" w14:textId="3225441E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Distancia, ambulante, automática, subasta, franquicia.</w:t>
      </w:r>
    </w:p>
    <w:p w14:paraId="643055E6" w14:textId="1DB271BD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Supresión de Registros de Franquiciadores y de Ventas a Distancia (RDL 20/2018).</w:t>
      </w:r>
    </w:p>
    <w:p w14:paraId="2D5C5097" w14:textId="6D8775D5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Venta a distancia regulada por Art. 92 RDL 1/2007.</w:t>
      </w:r>
    </w:p>
    <w:p w14:paraId="498C8A3F" w14:textId="77777777" w:rsidR="00C06E6B" w:rsidRPr="003C1885" w:rsidRDefault="00C06E6B" w:rsidP="003C1885">
      <w:pPr>
        <w:numPr>
          <w:ilvl w:val="0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Modificaciones de Liberalización (Apertura de locales):</w:t>
      </w:r>
    </w:p>
    <w:p w14:paraId="2FA0611D" w14:textId="6B94CDC3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Ley 12/2012: Elimina licencia previa para &lt;300 m²</w:t>
      </w:r>
      <w:r w:rsidR="003C1885">
        <w:rPr>
          <w:rFonts w:ascii="Cambria" w:hAnsi="Cambria"/>
        </w:rPr>
        <w:t>.</w:t>
      </w:r>
    </w:p>
    <w:p w14:paraId="36BA614A" w14:textId="1BF0F8B7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Ley 14/2013: Eleva umbral a &lt;500 m².</w:t>
      </w:r>
    </w:p>
    <w:p w14:paraId="27331FDD" w14:textId="50FC31E2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Ley 20/2013: Eleva umbral a &lt;750 m².</w:t>
      </w:r>
    </w:p>
    <w:p w14:paraId="6F5A1BCD" w14:textId="43235973" w:rsidR="00C06E6B" w:rsidRPr="003C1885" w:rsidRDefault="00C06E6B" w:rsidP="003C1885">
      <w:pPr>
        <w:numPr>
          <w:ilvl w:val="1"/>
          <w:numId w:val="5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RDL 6/2022: Permite limitar cantidad de artículos por comprador en circunstancias extraordinarias.</w:t>
      </w:r>
    </w:p>
    <w:p w14:paraId="6EE9825A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4.2. Ley 1/2004 de Horarios Comerciales</w:t>
      </w:r>
    </w:p>
    <w:p w14:paraId="0F3AB2B4" w14:textId="24552DAC" w:rsidR="00C06E6B" w:rsidRPr="003C1885" w:rsidRDefault="00C06E6B" w:rsidP="003C1885">
      <w:pPr>
        <w:numPr>
          <w:ilvl w:val="0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Principio:</w:t>
      </w:r>
      <w:r w:rsidRPr="003C1885">
        <w:rPr>
          <w:rFonts w:ascii="Cambria" w:hAnsi="Cambria"/>
        </w:rPr>
        <w:t xml:space="preserve"> Libertad de horarios dentro del marco legal.</w:t>
      </w:r>
    </w:p>
    <w:p w14:paraId="59E66E8B" w14:textId="77777777" w:rsidR="00C06E6B" w:rsidRPr="003C1885" w:rsidRDefault="00C06E6B" w:rsidP="003C1885">
      <w:pPr>
        <w:numPr>
          <w:ilvl w:val="0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Libertad Plena de Apertura (Art. 5):</w:t>
      </w:r>
    </w:p>
    <w:p w14:paraId="782BAB73" w14:textId="2F42BF1A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Pastelería, pan, prensa, combustibles, floristerías.</w:t>
      </w:r>
    </w:p>
    <w:p w14:paraId="3E5D5CA1" w14:textId="4F2EA4FC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Tiendas de conveniencia (&lt;500 m², mín. 18h/día).</w:t>
      </w:r>
    </w:p>
    <w:p w14:paraId="1EB75E16" w14:textId="782EA13C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Establecimientos &lt;300 m² (salvo grandes grupos).</w:t>
      </w:r>
    </w:p>
    <w:p w14:paraId="7BA14469" w14:textId="1D7F8907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Zonas de Gran Afluencia Turística (ZGAT).</w:t>
      </w:r>
    </w:p>
    <w:p w14:paraId="74CA68DA" w14:textId="77777777" w:rsidR="00C06E6B" w:rsidRPr="003C1885" w:rsidRDefault="00C06E6B" w:rsidP="003C1885">
      <w:pPr>
        <w:numPr>
          <w:ilvl w:val="0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lastRenderedPageBreak/>
        <w:t>Mínimos Estatales Básicos:</w:t>
      </w:r>
    </w:p>
    <w:p w14:paraId="14256504" w14:textId="2675AA62" w:rsidR="00C06E6B" w:rsidRPr="005B5D36" w:rsidRDefault="00C06E6B" w:rsidP="005B5D36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Horario global semanal: Mín</w:t>
      </w:r>
      <w:r w:rsidR="005B5D36">
        <w:rPr>
          <w:rFonts w:ascii="Cambria" w:hAnsi="Cambria"/>
        </w:rPr>
        <w:t>.</w:t>
      </w:r>
      <w:r w:rsidRPr="005B5D36">
        <w:rPr>
          <w:rFonts w:ascii="Cambria" w:hAnsi="Cambria"/>
        </w:rPr>
        <w:t xml:space="preserve"> 90 horas (CCAA no pueden bajar </w:t>
      </w:r>
      <w:r w:rsidR="005B5D36" w:rsidRPr="005B5D36">
        <w:rPr>
          <w:rFonts w:ascii="Cambria" w:hAnsi="Cambria"/>
        </w:rPr>
        <w:t>más)</w:t>
      </w:r>
    </w:p>
    <w:p w14:paraId="79A0FAA1" w14:textId="5EE61BAA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Domingos y festivos: Mín</w:t>
      </w:r>
      <w:r w:rsidR="005B5D36">
        <w:rPr>
          <w:rFonts w:ascii="Cambria" w:hAnsi="Cambria"/>
        </w:rPr>
        <w:t>.</w:t>
      </w:r>
      <w:r w:rsidRPr="003C1885">
        <w:rPr>
          <w:rFonts w:ascii="Cambria" w:hAnsi="Cambria"/>
        </w:rPr>
        <w:t xml:space="preserve"> 16 autorizados (CCAA pueden reducir hasta 10).</w:t>
      </w:r>
    </w:p>
    <w:p w14:paraId="2FBBEAD3" w14:textId="03066D63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 xml:space="preserve">ZGAT: Obligatorio declarar en municipios &gt;100.000 </w:t>
      </w:r>
      <w:proofErr w:type="spellStart"/>
      <w:r w:rsidRPr="003C1885">
        <w:rPr>
          <w:rFonts w:ascii="Cambria" w:hAnsi="Cambria"/>
        </w:rPr>
        <w:t>hab</w:t>
      </w:r>
      <w:proofErr w:type="spellEnd"/>
      <w:r w:rsidRPr="003C1885">
        <w:rPr>
          <w:rFonts w:ascii="Cambria" w:hAnsi="Cambria"/>
        </w:rPr>
        <w:t xml:space="preserve"> (o &gt;200.000 según criterio) con </w:t>
      </w:r>
      <w:r w:rsidR="003C1885" w:rsidRPr="003C1885">
        <w:rPr>
          <w:rFonts w:ascii="Cambria" w:hAnsi="Cambria"/>
        </w:rPr>
        <w:t>ciertas pernoctaciones</w:t>
      </w:r>
      <w:r w:rsidRPr="003C1885">
        <w:rPr>
          <w:rFonts w:ascii="Cambria" w:hAnsi="Cambria"/>
        </w:rPr>
        <w:t>/cruceristas.</w:t>
      </w:r>
    </w:p>
    <w:p w14:paraId="572C6FB3" w14:textId="0AD2C331" w:rsidR="00C06E6B" w:rsidRPr="003C1885" w:rsidRDefault="00C06E6B" w:rsidP="003C1885">
      <w:pPr>
        <w:numPr>
          <w:ilvl w:val="1"/>
          <w:numId w:val="6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Si la CCAA no regula, aplica libertad plena.</w:t>
      </w:r>
    </w:p>
    <w:p w14:paraId="5EC61811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4.3. Ley 3/2004 de Lucha contra la Morosidad</w:t>
      </w:r>
    </w:p>
    <w:p w14:paraId="70962F8C" w14:textId="012BB2B4" w:rsidR="00C06E6B" w:rsidRPr="003C1885" w:rsidRDefault="00C06E6B" w:rsidP="003C1885">
      <w:pPr>
        <w:numPr>
          <w:ilvl w:val="0"/>
          <w:numId w:val="7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Protección a PYMES ante falta de liquidez.</w:t>
      </w:r>
    </w:p>
    <w:p w14:paraId="4CAAF2DD" w14:textId="77777777" w:rsidR="00C06E6B" w:rsidRPr="003C1885" w:rsidRDefault="00C06E6B" w:rsidP="003C1885">
      <w:pPr>
        <w:numPr>
          <w:ilvl w:val="0"/>
          <w:numId w:val="7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Plazos de pago obligatorios:</w:t>
      </w:r>
    </w:p>
    <w:p w14:paraId="5533DC6E" w14:textId="55F849EB" w:rsidR="00C06E6B" w:rsidRPr="003C1885" w:rsidRDefault="00C06E6B" w:rsidP="003C1885">
      <w:pPr>
        <w:numPr>
          <w:ilvl w:val="1"/>
          <w:numId w:val="7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Perecederos: 30 días.</w:t>
      </w:r>
    </w:p>
    <w:p w14:paraId="419C4120" w14:textId="64361A41" w:rsidR="00C06E6B" w:rsidRPr="003C1885" w:rsidRDefault="00C06E6B" w:rsidP="003C1885">
      <w:pPr>
        <w:numPr>
          <w:ilvl w:val="1"/>
          <w:numId w:val="7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Resto alimentación y gran consumo: 60 días.</w:t>
      </w:r>
    </w:p>
    <w:p w14:paraId="227B4850" w14:textId="77777777" w:rsidR="00C06E6B" w:rsidRPr="003C1885" w:rsidRDefault="00C06E6B" w:rsidP="003C1885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5. Normativa Autonómica</w:t>
      </w:r>
    </w:p>
    <w:p w14:paraId="6E91D6D0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5.1. Competencias y Grandes Establecimientos</w:t>
      </w:r>
    </w:p>
    <w:p w14:paraId="6BEADAC7" w14:textId="52A0165B" w:rsidR="00C06E6B" w:rsidRPr="003C1885" w:rsidRDefault="00C06E6B" w:rsidP="003C1885">
      <w:pPr>
        <w:numPr>
          <w:ilvl w:val="0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Todas las CCAA tienen competencias exclusivas.</w:t>
      </w:r>
    </w:p>
    <w:p w14:paraId="2BD7EFD1" w14:textId="77777777" w:rsidR="00C06E6B" w:rsidRPr="003C1885" w:rsidRDefault="00C06E6B" w:rsidP="003C1885">
      <w:pPr>
        <w:numPr>
          <w:ilvl w:val="0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Régimen de Autorización (Art. 6 Ley 7/1996):</w:t>
      </w:r>
    </w:p>
    <w:p w14:paraId="1617F195" w14:textId="5BD7FEB8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General: No sujeta a autorización.</w:t>
      </w:r>
    </w:p>
    <w:p w14:paraId="2F9B8DA3" w14:textId="0D56DC9F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Excepción: Única autorización indefinida si hay riesgo para medio ambiente, entorno urbano o patrimonio (razones imperiosas de interés general).</w:t>
      </w:r>
    </w:p>
    <w:p w14:paraId="7D957C01" w14:textId="21A79576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Prohibido: Requisitos económicos (prueba de necesidad de mercado).</w:t>
      </w:r>
    </w:p>
    <w:p w14:paraId="6AC331BD" w14:textId="5FEAD6D6" w:rsidR="00C06E6B" w:rsidRPr="003C1885" w:rsidRDefault="00C06E6B" w:rsidP="003C1885">
      <w:pPr>
        <w:numPr>
          <w:ilvl w:val="0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Definición de Gran Establecimiento:</w:t>
      </w:r>
    </w:p>
    <w:p w14:paraId="5D5817C5" w14:textId="4D3DFF59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Mayoría (Madrid, C-LM, Valencia...): &gt;2.500 m².</w:t>
      </w:r>
    </w:p>
    <w:p w14:paraId="1794C0ED" w14:textId="04F45626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Cataluña: Escala según tamaño (pequeño &lt;800, mediano &lt;1.300, grande &gt;2.500).</w:t>
      </w:r>
    </w:p>
    <w:p w14:paraId="40BA0E34" w14:textId="1CE8F507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País Vasco: &gt;700 m².</w:t>
      </w:r>
    </w:p>
    <w:p w14:paraId="3CBFAD05" w14:textId="7904588E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Islas: 400-500 m².</w:t>
      </w:r>
    </w:p>
    <w:p w14:paraId="205D6146" w14:textId="77777777" w:rsidR="00C06E6B" w:rsidRPr="003C1885" w:rsidRDefault="00C06E6B" w:rsidP="003C1885">
      <w:pPr>
        <w:numPr>
          <w:ilvl w:val="0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Situación de Licencias:</w:t>
      </w:r>
    </w:p>
    <w:p w14:paraId="396986B5" w14:textId="6FA68D66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Madrid: Suprime licencia comercial (solo comunicación previa).</w:t>
      </w:r>
    </w:p>
    <w:p w14:paraId="2061A426" w14:textId="7870228C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Aragón, Cataluña, Valencia, etc.: Mantienen licencia autonómica.</w:t>
      </w:r>
    </w:p>
    <w:p w14:paraId="5CE309D7" w14:textId="3863BD6C" w:rsidR="00C06E6B" w:rsidRPr="003C1885" w:rsidRDefault="00C06E6B" w:rsidP="003C1885">
      <w:pPr>
        <w:numPr>
          <w:ilvl w:val="1"/>
          <w:numId w:val="8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lastRenderedPageBreak/>
        <w:t xml:space="preserve">País Vasco, Andalucía, Asturias: Suprimen </w:t>
      </w:r>
      <w:proofErr w:type="gramStart"/>
      <w:r w:rsidRPr="003C1885">
        <w:rPr>
          <w:rFonts w:ascii="Cambria" w:hAnsi="Cambria"/>
        </w:rPr>
        <w:t>licencia</w:t>
      </w:r>
      <w:proofErr w:type="gramEnd"/>
      <w:r w:rsidRPr="003C1885">
        <w:rPr>
          <w:rFonts w:ascii="Cambria" w:hAnsi="Cambria"/>
        </w:rPr>
        <w:t xml:space="preserve"> pero mantienen control condicionando la municipal.</w:t>
      </w:r>
    </w:p>
    <w:p w14:paraId="0CFD5440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5.2. Planificación y Fiscalidad</w:t>
      </w:r>
    </w:p>
    <w:p w14:paraId="6D95D83D" w14:textId="2BEAACA8" w:rsidR="00C06E6B" w:rsidRPr="003C1885" w:rsidRDefault="00C06E6B" w:rsidP="003C1885">
      <w:pPr>
        <w:numPr>
          <w:ilvl w:val="0"/>
          <w:numId w:val="9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Planes de equipamiento comercial: Zonificación y limitación de superficies.</w:t>
      </w:r>
    </w:p>
    <w:p w14:paraId="289596D2" w14:textId="2C33C14A" w:rsidR="00C06E6B" w:rsidRPr="003C1885" w:rsidRDefault="00C06E6B" w:rsidP="003C1885">
      <w:pPr>
        <w:numPr>
          <w:ilvl w:val="0"/>
          <w:numId w:val="9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Impuestos medioambientales: Gravan grandes superficies en Navarra, Cataluña, Asturias y Aragón por externalidades negativas.</w:t>
      </w:r>
    </w:p>
    <w:p w14:paraId="0DC7B71B" w14:textId="686F5154" w:rsidR="00C06E6B" w:rsidRPr="003C1885" w:rsidRDefault="00C06E6B" w:rsidP="003C1885">
      <w:pPr>
        <w:numPr>
          <w:ilvl w:val="0"/>
          <w:numId w:val="9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Defensa de la Competencia: Órganos autonómicos en 12 CCAA.</w:t>
      </w:r>
    </w:p>
    <w:p w14:paraId="41C83EDB" w14:textId="74D6177F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5.3. Horarios Comerciales (Calendario 2024)</w:t>
      </w:r>
    </w:p>
    <w:p w14:paraId="3A202C4E" w14:textId="58177320" w:rsidR="00C06E6B" w:rsidRPr="003C1885" w:rsidRDefault="00C06E6B" w:rsidP="003C1885">
      <w:pPr>
        <w:numPr>
          <w:ilvl w:val="0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Aprobación anual de calendarios por CCAA.</w:t>
      </w:r>
    </w:p>
    <w:p w14:paraId="7F507084" w14:textId="77777777" w:rsidR="00C06E6B" w:rsidRPr="003C1885" w:rsidRDefault="00C06E6B" w:rsidP="003C1885">
      <w:pPr>
        <w:numPr>
          <w:ilvl w:val="0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Domingos/Festivos de apertura:</w:t>
      </w:r>
    </w:p>
    <w:p w14:paraId="4BF98365" w14:textId="29BE8C58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Madrid: No aprueba calendario.</w:t>
      </w:r>
    </w:p>
    <w:p w14:paraId="3E3294E1" w14:textId="05B62495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Ceuta: Todos.</w:t>
      </w:r>
    </w:p>
    <w:p w14:paraId="358657C0" w14:textId="7B91CE90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Andalucía, Murcia, Melilla: 16 días.</w:t>
      </w:r>
    </w:p>
    <w:p w14:paraId="7DE13CAF" w14:textId="735BF12A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C. Valenciana: 11 días.</w:t>
      </w:r>
    </w:p>
    <w:p w14:paraId="44E200E8" w14:textId="1162D86A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Mayoría (Aragón, Baleares, Canarias, Galicia, etc.): 10 días.</w:t>
      </w:r>
    </w:p>
    <w:p w14:paraId="2D499D86" w14:textId="7A16F61B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Navarra (9) y País Vasco (8): Regímenes forales/específicos inferiores al mínimo estatal.</w:t>
      </w:r>
    </w:p>
    <w:p w14:paraId="7C2CDDF7" w14:textId="4F084527" w:rsidR="00C06E6B" w:rsidRPr="003C1885" w:rsidRDefault="00C06E6B" w:rsidP="003C1885">
      <w:pPr>
        <w:numPr>
          <w:ilvl w:val="1"/>
          <w:numId w:val="10"/>
        </w:numPr>
        <w:jc w:val="both"/>
        <w:rPr>
          <w:rFonts w:ascii="Cambria" w:hAnsi="Cambria"/>
        </w:rPr>
      </w:pPr>
      <w:r w:rsidRPr="003C1885">
        <w:rPr>
          <w:rFonts w:ascii="Cambria" w:hAnsi="Cambria"/>
        </w:rPr>
        <w:t>Cataluña y Extremadura: 8 días + 2 municipales.</w:t>
      </w:r>
    </w:p>
    <w:p w14:paraId="604C4716" w14:textId="77777777" w:rsidR="00C06E6B" w:rsidRPr="003C1885" w:rsidRDefault="00C06E6B" w:rsidP="003C188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5.4. Otros Regímenes</w:t>
      </w:r>
    </w:p>
    <w:p w14:paraId="695008A8" w14:textId="5C090602" w:rsidR="00C06E6B" w:rsidRPr="003C1885" w:rsidRDefault="00C06E6B" w:rsidP="003C1885">
      <w:pPr>
        <w:numPr>
          <w:ilvl w:val="0"/>
          <w:numId w:val="1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Outlets:</w:t>
      </w:r>
      <w:r w:rsidRPr="003C1885">
        <w:rPr>
          <w:rFonts w:ascii="Cambria" w:hAnsi="Cambria"/>
        </w:rPr>
        <w:t xml:space="preserve"> Regulación irregular (considerados a veces saldos o venta directa).</w:t>
      </w:r>
    </w:p>
    <w:p w14:paraId="3E6903ED" w14:textId="4A3EE2C5" w:rsidR="00C06E6B" w:rsidRPr="003C1885" w:rsidRDefault="00C06E6B" w:rsidP="003C1885">
      <w:pPr>
        <w:numPr>
          <w:ilvl w:val="0"/>
          <w:numId w:val="11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Sanciones:</w:t>
      </w:r>
      <w:r w:rsidRPr="003C1885">
        <w:rPr>
          <w:rFonts w:ascii="Cambria" w:hAnsi="Cambria"/>
        </w:rPr>
        <w:t xml:space="preserve"> Competencia de CCAA. Cooperación vía acuerdos de 2007.</w:t>
      </w:r>
    </w:p>
    <w:p w14:paraId="5DC86E57" w14:textId="77777777" w:rsidR="00C06E6B" w:rsidRPr="003C1885" w:rsidRDefault="00C06E6B" w:rsidP="003C1885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1885">
        <w:rPr>
          <w:rFonts w:ascii="Cambria" w:hAnsi="Cambria"/>
          <w:b/>
          <w:bCs/>
          <w:color w:val="auto"/>
          <w:sz w:val="24"/>
          <w:szCs w:val="24"/>
        </w:rPr>
        <w:t>6. Conclusión y Medidas de Apoyo</w:t>
      </w:r>
    </w:p>
    <w:p w14:paraId="6D3DF83D" w14:textId="18280FBA" w:rsidR="00C06E6B" w:rsidRPr="003C1885" w:rsidRDefault="00C06E6B" w:rsidP="003C1885">
      <w:pPr>
        <w:numPr>
          <w:ilvl w:val="0"/>
          <w:numId w:val="12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Planes de Apoyo:</w:t>
      </w:r>
      <w:r w:rsidRPr="003C1885">
        <w:rPr>
          <w:rFonts w:ascii="Cambria" w:hAnsi="Cambria"/>
        </w:rPr>
        <w:t xml:space="preserve"> Planes Integrales de Apoyo a la Competitividad del Comercio Minorista (2013-2024) para modernización, digitalización y relevo generacional.</w:t>
      </w:r>
    </w:p>
    <w:p w14:paraId="7D6926EE" w14:textId="3A1C2C6B" w:rsidR="00C06E6B" w:rsidRPr="003C1885" w:rsidRDefault="00C06E6B" w:rsidP="003C1885">
      <w:pPr>
        <w:numPr>
          <w:ilvl w:val="0"/>
          <w:numId w:val="12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Unidad de Mercado:</w:t>
      </w:r>
      <w:r w:rsidRPr="003C1885">
        <w:rPr>
          <w:rFonts w:ascii="Cambria" w:hAnsi="Cambria"/>
        </w:rPr>
        <w:t xml:space="preserve"> Ley 20/2013 y reformas para racionalización normativa.</w:t>
      </w:r>
    </w:p>
    <w:p w14:paraId="46077285" w14:textId="0095C93B" w:rsidR="00C06E6B" w:rsidRPr="003C1885" w:rsidRDefault="00C06E6B" w:rsidP="003C1885">
      <w:pPr>
        <w:numPr>
          <w:ilvl w:val="0"/>
          <w:numId w:val="12"/>
        </w:numPr>
        <w:jc w:val="both"/>
        <w:rPr>
          <w:rFonts w:ascii="Cambria" w:hAnsi="Cambria"/>
        </w:rPr>
      </w:pPr>
      <w:r w:rsidRPr="003C1885">
        <w:rPr>
          <w:rFonts w:ascii="Cambria" w:hAnsi="Cambria"/>
          <w:b/>
          <w:bCs/>
        </w:rPr>
        <w:t>Nuevos Operadores:</w:t>
      </w:r>
      <w:r w:rsidRPr="003C1885">
        <w:rPr>
          <w:rFonts w:ascii="Cambria" w:hAnsi="Cambria"/>
        </w:rPr>
        <w:t xml:space="preserve"> Irrupción de Amazon (Prime Now) en distribución de gran consumo y frescos.</w:t>
      </w:r>
    </w:p>
    <w:p w14:paraId="78947777" w14:textId="77777777" w:rsidR="00A65383" w:rsidRPr="003C1885" w:rsidRDefault="00A65383" w:rsidP="003C1885">
      <w:pPr>
        <w:jc w:val="both"/>
        <w:rPr>
          <w:rFonts w:ascii="Cambria" w:hAnsi="Cambria"/>
        </w:rPr>
      </w:pPr>
    </w:p>
    <w:sectPr w:rsidR="00A65383" w:rsidRPr="003C188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9726" w14:textId="77777777" w:rsidR="00C06E6B" w:rsidRDefault="00C06E6B" w:rsidP="00C06E6B">
      <w:pPr>
        <w:spacing w:after="0" w:line="240" w:lineRule="auto"/>
      </w:pPr>
      <w:r>
        <w:separator/>
      </w:r>
    </w:p>
  </w:endnote>
  <w:endnote w:type="continuationSeparator" w:id="0">
    <w:p w14:paraId="5BCB411E" w14:textId="77777777" w:rsidR="00C06E6B" w:rsidRDefault="00C06E6B" w:rsidP="00C0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914F" w14:textId="77777777" w:rsidR="00C06E6B" w:rsidRDefault="00C06E6B" w:rsidP="00C06E6B">
      <w:pPr>
        <w:spacing w:after="0" w:line="240" w:lineRule="auto"/>
      </w:pPr>
      <w:r>
        <w:separator/>
      </w:r>
    </w:p>
  </w:footnote>
  <w:footnote w:type="continuationSeparator" w:id="0">
    <w:p w14:paraId="7E42DBF9" w14:textId="77777777" w:rsidR="00C06E6B" w:rsidRDefault="00C06E6B" w:rsidP="00C0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94C2" w14:textId="28FFEA54" w:rsidR="00C06E6B" w:rsidRPr="00C06E6B" w:rsidRDefault="00C06E6B" w:rsidP="00C06E6B">
    <w:pPr>
      <w:pStyle w:val="Encabezado"/>
      <w:jc w:val="both"/>
      <w:rPr>
        <w:rFonts w:ascii="Palatino Linotype" w:hAnsi="Palatino Linotype"/>
        <w:i/>
        <w:iCs/>
      </w:rPr>
    </w:pPr>
    <w:r w:rsidRPr="00C06E6B">
      <w:rPr>
        <w:rFonts w:ascii="Palatino Linotype" w:hAnsi="Palatino Linotype"/>
        <w:b/>
        <w:bCs/>
        <w:i/>
        <w:iCs/>
      </w:rPr>
      <w:t>TEMA 19 -</w:t>
    </w:r>
    <w:r w:rsidRPr="00C06E6B">
      <w:rPr>
        <w:rFonts w:ascii="Palatino Linotype" w:hAnsi="Palatino Linotype"/>
        <w:i/>
        <w:iCs/>
      </w:rPr>
      <w:t xml:space="preserve"> La Ordenación del Comercio Minorista. Normativa europea, estatal y autonómica.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CE8"/>
    <w:multiLevelType w:val="multilevel"/>
    <w:tmpl w:val="D3A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5CD3"/>
    <w:multiLevelType w:val="multilevel"/>
    <w:tmpl w:val="B83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4C6E"/>
    <w:multiLevelType w:val="multilevel"/>
    <w:tmpl w:val="A12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7610C"/>
    <w:multiLevelType w:val="multilevel"/>
    <w:tmpl w:val="9B0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35526"/>
    <w:multiLevelType w:val="multilevel"/>
    <w:tmpl w:val="AFE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150BF"/>
    <w:multiLevelType w:val="multilevel"/>
    <w:tmpl w:val="D46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41CB8"/>
    <w:multiLevelType w:val="multilevel"/>
    <w:tmpl w:val="DC5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033D3"/>
    <w:multiLevelType w:val="multilevel"/>
    <w:tmpl w:val="CD6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810DE"/>
    <w:multiLevelType w:val="multilevel"/>
    <w:tmpl w:val="AD8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E0C45"/>
    <w:multiLevelType w:val="multilevel"/>
    <w:tmpl w:val="CB5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658A6"/>
    <w:multiLevelType w:val="multilevel"/>
    <w:tmpl w:val="4FE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95AFE"/>
    <w:multiLevelType w:val="multilevel"/>
    <w:tmpl w:val="120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82344">
    <w:abstractNumId w:val="1"/>
  </w:num>
  <w:num w:numId="2" w16cid:durableId="2122719329">
    <w:abstractNumId w:val="4"/>
  </w:num>
  <w:num w:numId="3" w16cid:durableId="805899584">
    <w:abstractNumId w:val="8"/>
  </w:num>
  <w:num w:numId="4" w16cid:durableId="1158155628">
    <w:abstractNumId w:val="2"/>
  </w:num>
  <w:num w:numId="5" w16cid:durableId="2133549080">
    <w:abstractNumId w:val="3"/>
  </w:num>
  <w:num w:numId="6" w16cid:durableId="1339579720">
    <w:abstractNumId w:val="7"/>
  </w:num>
  <w:num w:numId="7" w16cid:durableId="1135367094">
    <w:abstractNumId w:val="6"/>
  </w:num>
  <w:num w:numId="8" w16cid:durableId="704061831">
    <w:abstractNumId w:val="5"/>
  </w:num>
  <w:num w:numId="9" w16cid:durableId="1021474388">
    <w:abstractNumId w:val="10"/>
  </w:num>
  <w:num w:numId="10" w16cid:durableId="1703165525">
    <w:abstractNumId w:val="9"/>
  </w:num>
  <w:num w:numId="11" w16cid:durableId="1027173680">
    <w:abstractNumId w:val="11"/>
  </w:num>
  <w:num w:numId="12" w16cid:durableId="101646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6B"/>
    <w:rsid w:val="00043EFB"/>
    <w:rsid w:val="002F0390"/>
    <w:rsid w:val="003C1885"/>
    <w:rsid w:val="005803BC"/>
    <w:rsid w:val="00584253"/>
    <w:rsid w:val="005B5D36"/>
    <w:rsid w:val="00625D10"/>
    <w:rsid w:val="00A65383"/>
    <w:rsid w:val="00A8675C"/>
    <w:rsid w:val="00C06E6B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AFA2"/>
  <w15:chartTrackingRefBased/>
  <w15:docId w15:val="{1E922D7A-8E30-4333-91A0-85B4F448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E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E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E6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06E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E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E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6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6E6B"/>
  </w:style>
  <w:style w:type="paragraph" w:styleId="Piedepgina">
    <w:name w:val="footer"/>
    <w:basedOn w:val="Normal"/>
    <w:link w:val="PiedepginaCar"/>
    <w:uiPriority w:val="99"/>
    <w:unhideWhenUsed/>
    <w:rsid w:val="00C06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6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1074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2025-12-16T08:52:00Z</dcterms:created>
  <dcterms:modified xsi:type="dcterms:W3CDTF">2026-01-16T17:22:00Z</dcterms:modified>
</cp:coreProperties>
</file>