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022B" w14:textId="3E4152B0" w:rsidR="005413EB" w:rsidRPr="00925073" w:rsidRDefault="005413EB" w:rsidP="00DA788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25073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7E3AE503" w14:textId="4CAE5D91" w:rsidR="005413EB" w:rsidRPr="00925073" w:rsidRDefault="005413EB" w:rsidP="00DA7889">
      <w:pPr>
        <w:numPr>
          <w:ilvl w:val="0"/>
          <w:numId w:val="7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Marco Constitucional</w:t>
      </w:r>
      <w:r w:rsidRPr="00925073">
        <w:rPr>
          <w:rFonts w:ascii="Cambria" w:hAnsi="Cambria"/>
        </w:rPr>
        <w:t>: El Artículo 38 de la CE</w:t>
      </w:r>
      <w:r w:rsidR="00925073">
        <w:rPr>
          <w:rFonts w:ascii="Cambria" w:hAnsi="Cambria"/>
        </w:rPr>
        <w:t xml:space="preserve"> </w:t>
      </w:r>
      <w:r w:rsidRPr="00925073">
        <w:rPr>
          <w:rFonts w:ascii="Cambria" w:hAnsi="Cambria"/>
        </w:rPr>
        <w:t>reconoce la libertad de empresa en una economía de mercado y obliga a los poderes públicos a su garantía y protección.</w:t>
      </w:r>
    </w:p>
    <w:p w14:paraId="3470A98A" w14:textId="77777777" w:rsidR="005413EB" w:rsidRPr="00925073" w:rsidRDefault="005413EB" w:rsidP="00DA7889">
      <w:pPr>
        <w:numPr>
          <w:ilvl w:val="0"/>
          <w:numId w:val="7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Beneficios de la competencia</w:t>
      </w:r>
      <w:r w:rsidRPr="00925073">
        <w:rPr>
          <w:rFonts w:ascii="Cambria" w:hAnsi="Cambria"/>
        </w:rPr>
        <w:t>: Disciplina la actuación de las empresas, reasigna recursos a los más eficientes, fomenta la innovación y mejora la productividad.</w:t>
      </w:r>
    </w:p>
    <w:p w14:paraId="6124D9F0" w14:textId="77777777" w:rsidR="005413EB" w:rsidRPr="00925073" w:rsidRDefault="005413EB" w:rsidP="00DA7889">
      <w:pPr>
        <w:numPr>
          <w:ilvl w:val="0"/>
          <w:numId w:val="7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Efectos en el consumidor</w:t>
      </w:r>
      <w:r w:rsidRPr="00925073">
        <w:rPr>
          <w:rFonts w:ascii="Cambria" w:hAnsi="Cambria"/>
        </w:rPr>
        <w:t>: Se traduce en menores precios, mayor cantidad, variedad y calidad de productos.</w:t>
      </w:r>
    </w:p>
    <w:p w14:paraId="5DC9BEFA" w14:textId="77777777" w:rsidR="005413EB" w:rsidRPr="00925073" w:rsidRDefault="005413EB" w:rsidP="00DA7889">
      <w:pPr>
        <w:numPr>
          <w:ilvl w:val="0"/>
          <w:numId w:val="7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Fundamento en la UE</w:t>
      </w:r>
      <w:r w:rsidRPr="00925073">
        <w:rPr>
          <w:rFonts w:ascii="Cambria" w:hAnsi="Cambria"/>
        </w:rPr>
        <w:t>:</w:t>
      </w:r>
    </w:p>
    <w:p w14:paraId="1FB06127" w14:textId="77777777" w:rsidR="005413EB" w:rsidRPr="00925073" w:rsidRDefault="005413EB" w:rsidP="00DA7889">
      <w:pPr>
        <w:numPr>
          <w:ilvl w:val="1"/>
          <w:numId w:val="7"/>
        </w:numPr>
        <w:jc w:val="both"/>
        <w:rPr>
          <w:rFonts w:ascii="Cambria" w:hAnsi="Cambria"/>
        </w:rPr>
      </w:pPr>
      <w:r w:rsidRPr="00925073">
        <w:rPr>
          <w:rFonts w:ascii="Cambria" w:hAnsi="Cambria"/>
        </w:rPr>
        <w:t>Artículos 101 a 109 del Tratado de Funcionamiento de la Unión Europea (TFUE).</w:t>
      </w:r>
    </w:p>
    <w:p w14:paraId="4C8BD0F6" w14:textId="77777777" w:rsidR="005413EB" w:rsidRPr="00925073" w:rsidRDefault="005413EB" w:rsidP="00DA7889">
      <w:pPr>
        <w:numPr>
          <w:ilvl w:val="1"/>
          <w:numId w:val="7"/>
        </w:numPr>
        <w:jc w:val="both"/>
        <w:rPr>
          <w:rFonts w:ascii="Cambria" w:hAnsi="Cambria"/>
        </w:rPr>
      </w:pPr>
      <w:r w:rsidRPr="00925073">
        <w:rPr>
          <w:rFonts w:ascii="Cambria" w:hAnsi="Cambria"/>
        </w:rPr>
        <w:t xml:space="preserve">Protocolo </w:t>
      </w:r>
      <w:proofErr w:type="spellStart"/>
      <w:r w:rsidRPr="00925073">
        <w:rPr>
          <w:rFonts w:ascii="Cambria" w:hAnsi="Cambria"/>
        </w:rPr>
        <w:t>nº</w:t>
      </w:r>
      <w:proofErr w:type="spellEnd"/>
      <w:r w:rsidRPr="00925073">
        <w:rPr>
          <w:rFonts w:ascii="Cambria" w:hAnsi="Cambria"/>
        </w:rPr>
        <w:t xml:space="preserve"> 27 sobre Mercado Interior y Competencia (competencia no falseada).</w:t>
      </w:r>
    </w:p>
    <w:p w14:paraId="2ADC4542" w14:textId="77777777" w:rsidR="005413EB" w:rsidRPr="00925073" w:rsidRDefault="005413EB" w:rsidP="00DA7889">
      <w:pPr>
        <w:numPr>
          <w:ilvl w:val="0"/>
          <w:numId w:val="7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Normativa Nacional Principal</w:t>
      </w:r>
      <w:r w:rsidRPr="00925073">
        <w:rPr>
          <w:rFonts w:ascii="Cambria" w:hAnsi="Cambria"/>
        </w:rPr>
        <w:t>: Ley 15/2007 de Defensa de la Competencia (LDC).</w:t>
      </w:r>
    </w:p>
    <w:p w14:paraId="5F59D149" w14:textId="4282D453" w:rsidR="005413EB" w:rsidRPr="00925073" w:rsidRDefault="005413EB" w:rsidP="00DA788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25073">
        <w:rPr>
          <w:rFonts w:ascii="Cambria" w:hAnsi="Cambria"/>
          <w:b/>
          <w:bCs/>
          <w:color w:val="auto"/>
          <w:sz w:val="28"/>
          <w:szCs w:val="28"/>
        </w:rPr>
        <w:t>2. EVOLUCIÓN DEL SISTEMA ESPAÑOL DE DEFENSA DE LA COMPETENCIA.</w:t>
      </w:r>
    </w:p>
    <w:p w14:paraId="13BED555" w14:textId="77777777" w:rsidR="005413EB" w:rsidRPr="00925073" w:rsidRDefault="005413EB" w:rsidP="00DA7889">
      <w:pPr>
        <w:numPr>
          <w:ilvl w:val="0"/>
          <w:numId w:val="8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Antecedentes</w:t>
      </w:r>
      <w:r w:rsidRPr="00925073">
        <w:rPr>
          <w:rFonts w:ascii="Cambria" w:hAnsi="Cambria"/>
        </w:rPr>
        <w:t>:</w:t>
      </w:r>
    </w:p>
    <w:p w14:paraId="1B0AE25E" w14:textId="77777777" w:rsidR="005413EB" w:rsidRPr="00925073" w:rsidRDefault="005413EB" w:rsidP="00DA7889">
      <w:pPr>
        <w:numPr>
          <w:ilvl w:val="1"/>
          <w:numId w:val="8"/>
        </w:numPr>
        <w:jc w:val="both"/>
        <w:rPr>
          <w:rFonts w:ascii="Cambria" w:hAnsi="Cambria"/>
        </w:rPr>
      </w:pPr>
      <w:r w:rsidRPr="00925073">
        <w:rPr>
          <w:rFonts w:ascii="Cambria" w:hAnsi="Cambria"/>
        </w:rPr>
        <w:t>Ley 110/1963 de Represión de Prácticas Restrictivas (previa a la entrada en el Mercado Común).</w:t>
      </w:r>
    </w:p>
    <w:p w14:paraId="0B9AE461" w14:textId="34888FC3" w:rsidR="005413EB" w:rsidRPr="00925073" w:rsidRDefault="005413EB" w:rsidP="00DA7889">
      <w:pPr>
        <w:numPr>
          <w:ilvl w:val="1"/>
          <w:numId w:val="8"/>
        </w:numPr>
        <w:jc w:val="both"/>
        <w:rPr>
          <w:rFonts w:ascii="Cambria" w:hAnsi="Cambria"/>
        </w:rPr>
      </w:pPr>
      <w:r w:rsidRPr="00925073">
        <w:rPr>
          <w:rFonts w:ascii="Cambria" w:hAnsi="Cambria"/>
        </w:rPr>
        <w:t>Ley 16/1989: Distinguía entre el Servicio de Defensa de la Competencia (instrucción) y el Tribunal de Defensa de la Competencia (decisión</w:t>
      </w:r>
      <w:r w:rsidR="004A7922" w:rsidRPr="00925073">
        <w:rPr>
          <w:rFonts w:ascii="Cambria" w:hAnsi="Cambria"/>
        </w:rPr>
        <w:t>).</w:t>
      </w:r>
    </w:p>
    <w:p w14:paraId="50380181" w14:textId="77777777" w:rsidR="005413EB" w:rsidRPr="00925073" w:rsidRDefault="005413EB" w:rsidP="00DA7889">
      <w:pPr>
        <w:numPr>
          <w:ilvl w:val="0"/>
          <w:numId w:val="8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Hitos de reforma</w:t>
      </w:r>
      <w:r w:rsidRPr="00925073">
        <w:rPr>
          <w:rFonts w:ascii="Cambria" w:hAnsi="Cambria"/>
        </w:rPr>
        <w:t>:</w:t>
      </w:r>
    </w:p>
    <w:p w14:paraId="0F9E8869" w14:textId="77777777" w:rsidR="005413EB" w:rsidRPr="00925073" w:rsidRDefault="005413EB" w:rsidP="00DA7889">
      <w:pPr>
        <w:numPr>
          <w:ilvl w:val="1"/>
          <w:numId w:val="8"/>
        </w:numPr>
        <w:jc w:val="both"/>
        <w:rPr>
          <w:rFonts w:ascii="Cambria" w:hAnsi="Cambria"/>
        </w:rPr>
      </w:pPr>
      <w:r w:rsidRPr="00925073">
        <w:rPr>
          <w:rFonts w:ascii="Cambria" w:hAnsi="Cambria"/>
        </w:rPr>
        <w:t>Ley 1/2002: Coordinación entre Estado y CCAA.</w:t>
      </w:r>
    </w:p>
    <w:p w14:paraId="4FE3CFC1" w14:textId="77777777" w:rsidR="005413EB" w:rsidRPr="00925073" w:rsidRDefault="005413EB" w:rsidP="00DA7889">
      <w:pPr>
        <w:numPr>
          <w:ilvl w:val="1"/>
          <w:numId w:val="8"/>
        </w:numPr>
        <w:jc w:val="both"/>
        <w:rPr>
          <w:rFonts w:ascii="Cambria" w:hAnsi="Cambria"/>
        </w:rPr>
      </w:pPr>
      <w:r w:rsidRPr="00925073">
        <w:rPr>
          <w:rFonts w:ascii="Cambria" w:hAnsi="Cambria"/>
        </w:rPr>
        <w:t>Reglamento (CE) 1/2003 y 139/2004: Modernización y control de concentraciones en la UE.</w:t>
      </w:r>
    </w:p>
    <w:p w14:paraId="71A5EE03" w14:textId="77777777" w:rsidR="005413EB" w:rsidRPr="00925073" w:rsidRDefault="005413EB" w:rsidP="00DA7889">
      <w:pPr>
        <w:numPr>
          <w:ilvl w:val="0"/>
          <w:numId w:val="8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Unificación Institucional</w:t>
      </w:r>
      <w:r w:rsidRPr="00925073">
        <w:rPr>
          <w:rFonts w:ascii="Cambria" w:hAnsi="Cambria"/>
        </w:rPr>
        <w:t>:</w:t>
      </w:r>
    </w:p>
    <w:p w14:paraId="05A8CD33" w14:textId="77777777" w:rsidR="005413EB" w:rsidRPr="00925073" w:rsidRDefault="005413EB" w:rsidP="00DA7889">
      <w:pPr>
        <w:numPr>
          <w:ilvl w:val="1"/>
          <w:numId w:val="8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lastRenderedPageBreak/>
        <w:t>CNC (2007)</w:t>
      </w:r>
      <w:r w:rsidRPr="00925073">
        <w:rPr>
          <w:rFonts w:ascii="Cambria" w:hAnsi="Cambria"/>
        </w:rPr>
        <w:t>: Fusión de las funciones de instrucción y decisión en la Comisión Nacional de la Competencia.</w:t>
      </w:r>
    </w:p>
    <w:p w14:paraId="37D4C46A" w14:textId="77777777" w:rsidR="005413EB" w:rsidRPr="00925073" w:rsidRDefault="005413EB" w:rsidP="00DA7889">
      <w:pPr>
        <w:numPr>
          <w:ilvl w:val="1"/>
          <w:numId w:val="8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CNMC (2013)</w:t>
      </w:r>
      <w:r w:rsidRPr="00925073">
        <w:rPr>
          <w:rFonts w:ascii="Cambria" w:hAnsi="Cambria"/>
        </w:rPr>
        <w:t>: Creada por la Ley 3/2013 para unificar todos los organismos reguladores y de competencia.</w:t>
      </w:r>
    </w:p>
    <w:p w14:paraId="787FFAC2" w14:textId="565A5F96" w:rsidR="005413EB" w:rsidRPr="00925073" w:rsidRDefault="005413EB" w:rsidP="00DA788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25073">
        <w:rPr>
          <w:rFonts w:ascii="Cambria" w:hAnsi="Cambria"/>
          <w:b/>
          <w:bCs/>
          <w:color w:val="auto"/>
          <w:sz w:val="28"/>
          <w:szCs w:val="28"/>
        </w:rPr>
        <w:t>3. La Ley 15/2007 de Defensa de la Competencia</w:t>
      </w:r>
    </w:p>
    <w:p w14:paraId="60C3E607" w14:textId="77777777" w:rsidR="005413EB" w:rsidRPr="00925073" w:rsidRDefault="005413EB" w:rsidP="00DA7889">
      <w:pPr>
        <w:numPr>
          <w:ilvl w:val="0"/>
          <w:numId w:val="9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Estructura</w:t>
      </w:r>
      <w:r w:rsidRPr="00925073">
        <w:rPr>
          <w:rFonts w:ascii="Cambria" w:hAnsi="Cambria"/>
        </w:rPr>
        <w:t>: 6 Títulos que regulan cuestiones sustantivas, institucionales, procedimentales, régimen sancionador y compensación de daños.</w:t>
      </w:r>
    </w:p>
    <w:p w14:paraId="565C76A1" w14:textId="77777777" w:rsidR="005413EB" w:rsidRPr="00925073" w:rsidRDefault="005413EB" w:rsidP="00DA7889">
      <w:pPr>
        <w:numPr>
          <w:ilvl w:val="0"/>
          <w:numId w:val="9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Instrumentos principales (Título I)</w:t>
      </w:r>
      <w:r w:rsidRPr="00925073">
        <w:rPr>
          <w:rFonts w:ascii="Cambria" w:hAnsi="Cambria"/>
        </w:rPr>
        <w:t>:</w:t>
      </w:r>
    </w:p>
    <w:p w14:paraId="343FE165" w14:textId="77777777" w:rsidR="005413EB" w:rsidRPr="00925073" w:rsidRDefault="005413EB" w:rsidP="00DA788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25073">
        <w:rPr>
          <w:rFonts w:ascii="Cambria" w:hAnsi="Cambria"/>
          <w:b/>
          <w:bCs/>
          <w:color w:val="auto"/>
          <w:sz w:val="24"/>
          <w:szCs w:val="24"/>
        </w:rPr>
        <w:t>3.1. Conductas Restrictivas (Capítulo I)</w:t>
      </w:r>
    </w:p>
    <w:p w14:paraId="11B6B08B" w14:textId="77777777" w:rsidR="005413EB" w:rsidRPr="00925073" w:rsidRDefault="005413EB" w:rsidP="00DA7889">
      <w:pPr>
        <w:numPr>
          <w:ilvl w:val="1"/>
          <w:numId w:val="9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Conductas colusorias (Art. 1)</w:t>
      </w:r>
      <w:r w:rsidRPr="00925073">
        <w:rPr>
          <w:rFonts w:ascii="Cambria" w:hAnsi="Cambria"/>
        </w:rPr>
        <w:t>: Prohíbe acuerdos o prácticas concertadas que restrinjan la competencia (fijación de precios, reparto de mercados, etc.).</w:t>
      </w:r>
    </w:p>
    <w:p w14:paraId="289F7799" w14:textId="77777777" w:rsidR="005413EB" w:rsidRPr="00925073" w:rsidRDefault="005413EB" w:rsidP="00DA7889">
      <w:pPr>
        <w:numPr>
          <w:ilvl w:val="1"/>
          <w:numId w:val="9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Abuso de posición dominante (Art. 2)</w:t>
      </w:r>
      <w:r w:rsidRPr="00925073">
        <w:rPr>
          <w:rFonts w:ascii="Cambria" w:hAnsi="Cambria"/>
        </w:rPr>
        <w:t>: Prohíbe la explotación abusiva de una posición de dominio (no la posición en sí misma).</w:t>
      </w:r>
    </w:p>
    <w:p w14:paraId="08BBFDC7" w14:textId="77777777" w:rsidR="005413EB" w:rsidRPr="00925073" w:rsidRDefault="005413EB" w:rsidP="00DA7889">
      <w:pPr>
        <w:numPr>
          <w:ilvl w:val="1"/>
          <w:numId w:val="9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Actos de competencia desleal (Art. 3)</w:t>
      </w:r>
      <w:r w:rsidRPr="00925073">
        <w:rPr>
          <w:rFonts w:ascii="Cambria" w:hAnsi="Cambria"/>
        </w:rPr>
        <w:t>: Sancionables por la CNMC si falsean la competencia y afectan al interés público.</w:t>
      </w:r>
    </w:p>
    <w:p w14:paraId="2F0382ED" w14:textId="77777777" w:rsidR="005413EB" w:rsidRPr="00925073" w:rsidRDefault="005413EB" w:rsidP="00DA7889">
      <w:pPr>
        <w:numPr>
          <w:ilvl w:val="1"/>
          <w:numId w:val="10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Novedades LDC</w:t>
      </w:r>
      <w:r w:rsidRPr="00925073">
        <w:rPr>
          <w:rFonts w:ascii="Cambria" w:hAnsi="Cambria"/>
        </w:rPr>
        <w:t>: Sistema de autoevaluación (exención legal) y Programa de Clemencia (exención o reducción de multa por colaboración).</w:t>
      </w:r>
    </w:p>
    <w:p w14:paraId="34C28A73" w14:textId="77777777" w:rsidR="005413EB" w:rsidRPr="00925073" w:rsidRDefault="005413EB" w:rsidP="00DA788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25073">
        <w:rPr>
          <w:rFonts w:ascii="Cambria" w:hAnsi="Cambria"/>
          <w:b/>
          <w:bCs/>
          <w:color w:val="auto"/>
          <w:sz w:val="24"/>
          <w:szCs w:val="24"/>
        </w:rPr>
        <w:t>3.2. Concentraciones Económicas (Capítulo II)</w:t>
      </w:r>
    </w:p>
    <w:p w14:paraId="26463B24" w14:textId="4CE9902C" w:rsidR="005413EB" w:rsidRPr="00925073" w:rsidRDefault="005413EB" w:rsidP="00DA7889">
      <w:pPr>
        <w:numPr>
          <w:ilvl w:val="1"/>
          <w:numId w:val="11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Definición</w:t>
      </w:r>
      <w:r w:rsidRPr="00925073">
        <w:rPr>
          <w:rFonts w:ascii="Cambria" w:hAnsi="Cambria"/>
        </w:rPr>
        <w:t>: Operaciones que alteran la estructura del mercado (fusiones, adquisiciones).</w:t>
      </w:r>
    </w:p>
    <w:p w14:paraId="6F5793FD" w14:textId="77777777" w:rsidR="005413EB" w:rsidRPr="00925073" w:rsidRDefault="005413EB" w:rsidP="00DA7889">
      <w:pPr>
        <w:numPr>
          <w:ilvl w:val="1"/>
          <w:numId w:val="11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Umbrales de control en España (Art. 8 LDC)</w:t>
      </w:r>
      <w:r w:rsidRPr="00925073">
        <w:rPr>
          <w:rFonts w:ascii="Cambria" w:hAnsi="Cambria"/>
        </w:rPr>
        <w:t>:</w:t>
      </w:r>
    </w:p>
    <w:p w14:paraId="0DD54ECB" w14:textId="77777777" w:rsidR="005413EB" w:rsidRPr="00925073" w:rsidRDefault="005413EB" w:rsidP="00DA7889">
      <w:pPr>
        <w:numPr>
          <w:ilvl w:val="2"/>
          <w:numId w:val="11"/>
        </w:numPr>
        <w:jc w:val="both"/>
        <w:rPr>
          <w:rFonts w:ascii="Cambria" w:hAnsi="Cambria"/>
        </w:rPr>
      </w:pPr>
      <w:r w:rsidRPr="00925073">
        <w:rPr>
          <w:rFonts w:ascii="Cambria" w:hAnsi="Cambria"/>
        </w:rPr>
        <w:t>Cuota igual o superior al 30% del mercado relevante nacional (o geográfico definido).</w:t>
      </w:r>
    </w:p>
    <w:p w14:paraId="4B3C7B37" w14:textId="77777777" w:rsidR="005413EB" w:rsidRPr="00925073" w:rsidRDefault="005413EB" w:rsidP="00DA7889">
      <w:pPr>
        <w:numPr>
          <w:ilvl w:val="2"/>
          <w:numId w:val="11"/>
        </w:numPr>
        <w:jc w:val="both"/>
        <w:rPr>
          <w:rFonts w:ascii="Cambria" w:hAnsi="Cambria"/>
        </w:rPr>
      </w:pPr>
      <w:r w:rsidRPr="00925073">
        <w:rPr>
          <w:rFonts w:ascii="Cambria" w:hAnsi="Cambria"/>
        </w:rPr>
        <w:t>Volumen de negocios global en España &gt; 240M€, siempre que al menos dos partícipes superen los 60M€ cada uno.</w:t>
      </w:r>
    </w:p>
    <w:p w14:paraId="6A4FD308" w14:textId="75379809" w:rsidR="005413EB" w:rsidRPr="00925073" w:rsidRDefault="005413EB" w:rsidP="00DA7889">
      <w:pPr>
        <w:numPr>
          <w:ilvl w:val="1"/>
          <w:numId w:val="11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Dimensión Comunitaria (Reglamento 139/2004)</w:t>
      </w:r>
      <w:r w:rsidRPr="00925073">
        <w:rPr>
          <w:rFonts w:ascii="Cambria" w:hAnsi="Cambria"/>
        </w:rPr>
        <w:t>: La Comisión examina si el volumen mundial &gt; 5.000M€ y el comunitario &gt; 250M€ (con excepciones por país)</w:t>
      </w:r>
    </w:p>
    <w:p w14:paraId="135FC2E2" w14:textId="77777777" w:rsidR="005413EB" w:rsidRPr="00925073" w:rsidRDefault="005413EB" w:rsidP="00DA788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25073">
        <w:rPr>
          <w:rFonts w:ascii="Cambria" w:hAnsi="Cambria"/>
          <w:b/>
          <w:bCs/>
          <w:color w:val="auto"/>
          <w:sz w:val="24"/>
          <w:szCs w:val="24"/>
        </w:rPr>
        <w:lastRenderedPageBreak/>
        <w:t>3.3. Ayudas Públicas (Capítulo III)</w:t>
      </w:r>
    </w:p>
    <w:p w14:paraId="5BC41DEF" w14:textId="77777777" w:rsidR="005413EB" w:rsidRPr="00925073" w:rsidRDefault="005413EB" w:rsidP="00DA7889">
      <w:pPr>
        <w:numPr>
          <w:ilvl w:val="1"/>
          <w:numId w:val="12"/>
        </w:numPr>
        <w:jc w:val="both"/>
        <w:rPr>
          <w:rFonts w:ascii="Cambria" w:hAnsi="Cambria"/>
        </w:rPr>
      </w:pPr>
      <w:r w:rsidRPr="00925073">
        <w:rPr>
          <w:rFonts w:ascii="Cambria" w:hAnsi="Cambria"/>
        </w:rPr>
        <w:t>La CNMC analiza criterios de concesión y emite informes o recomendaciones a los poderes públicos.</w:t>
      </w:r>
    </w:p>
    <w:p w14:paraId="0DBD3EC2" w14:textId="10576165" w:rsidR="005413EB" w:rsidRPr="00925073" w:rsidRDefault="005413EB" w:rsidP="00DA788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25073">
        <w:rPr>
          <w:rFonts w:ascii="Cambria" w:hAnsi="Cambria"/>
          <w:b/>
          <w:bCs/>
          <w:color w:val="auto"/>
          <w:sz w:val="28"/>
          <w:szCs w:val="28"/>
        </w:rPr>
        <w:t>4. Comisión Nacional de los Mercados y la Competencia</w:t>
      </w:r>
    </w:p>
    <w:p w14:paraId="301D3F4A" w14:textId="77777777" w:rsidR="005413EB" w:rsidRPr="00925073" w:rsidRDefault="005413EB" w:rsidP="00DA7889">
      <w:pPr>
        <w:numPr>
          <w:ilvl w:val="0"/>
          <w:numId w:val="13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Naturaleza</w:t>
      </w:r>
      <w:r w:rsidRPr="00925073">
        <w:rPr>
          <w:rFonts w:ascii="Cambria" w:hAnsi="Cambria"/>
        </w:rPr>
        <w:t>: Organismo público adscrito al MINECO con personalidad jurídica propia y plena independencia del Gobierno.</w:t>
      </w:r>
    </w:p>
    <w:p w14:paraId="6D11D72B" w14:textId="478D784C" w:rsidR="005413EB" w:rsidRPr="00925073" w:rsidRDefault="005413EB" w:rsidP="00DA7889">
      <w:pPr>
        <w:numPr>
          <w:ilvl w:val="0"/>
          <w:numId w:val="13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Organismos integrados en 2013</w:t>
      </w:r>
      <w:r w:rsidRPr="00925073">
        <w:rPr>
          <w:rFonts w:ascii="Cambria" w:hAnsi="Cambria"/>
        </w:rPr>
        <w:t>: CNC (Competencia), CNE (Energía), CMT (Telecomunicaciones), CRF (Ferroviario), CNSP (Postal), CEMA (Audiovisual) y CREA (Aeroportuario).</w:t>
      </w:r>
    </w:p>
    <w:p w14:paraId="60786BEE" w14:textId="77777777" w:rsidR="005413EB" w:rsidRPr="00925073" w:rsidRDefault="005413EB" w:rsidP="00DA7889">
      <w:pPr>
        <w:numPr>
          <w:ilvl w:val="0"/>
          <w:numId w:val="13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Estructura</w:t>
      </w:r>
      <w:r w:rsidRPr="00925073">
        <w:rPr>
          <w:rFonts w:ascii="Cambria" w:hAnsi="Cambria"/>
        </w:rPr>
        <w:t>:</w:t>
      </w:r>
    </w:p>
    <w:p w14:paraId="06D1651A" w14:textId="77777777" w:rsidR="005413EB" w:rsidRPr="00925073" w:rsidRDefault="005413EB" w:rsidP="00DA7889">
      <w:pPr>
        <w:numPr>
          <w:ilvl w:val="1"/>
          <w:numId w:val="13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Presidencia</w:t>
      </w:r>
      <w:r w:rsidRPr="00925073">
        <w:rPr>
          <w:rFonts w:ascii="Cambria" w:hAnsi="Cambria"/>
        </w:rPr>
        <w:t>.</w:t>
      </w:r>
    </w:p>
    <w:p w14:paraId="2A204F8B" w14:textId="183B7BBD" w:rsidR="005413EB" w:rsidRPr="00925073" w:rsidRDefault="005413EB" w:rsidP="00DA7889">
      <w:pPr>
        <w:numPr>
          <w:ilvl w:val="1"/>
          <w:numId w:val="13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Consejo</w:t>
      </w:r>
      <w:r w:rsidRPr="00925073">
        <w:rPr>
          <w:rFonts w:ascii="Cambria" w:hAnsi="Cambria"/>
        </w:rPr>
        <w:t>: Órgano de decisión con 10 miembros (mandato 6 años). Se organiza en Sala de Competencia y Sala de Supervisión Regulatoria.</w:t>
      </w:r>
    </w:p>
    <w:p w14:paraId="34984AB5" w14:textId="77777777" w:rsidR="005413EB" w:rsidRPr="00925073" w:rsidRDefault="005413EB" w:rsidP="00DA7889">
      <w:pPr>
        <w:numPr>
          <w:ilvl w:val="1"/>
          <w:numId w:val="13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Direcciones de Instrucción</w:t>
      </w:r>
      <w:r w:rsidRPr="00925073">
        <w:rPr>
          <w:rFonts w:ascii="Cambria" w:hAnsi="Cambria"/>
        </w:rPr>
        <w:t>: Competencia, Energía, Telecomunicaciones/Audiovisual y Transportes/Postal.</w:t>
      </w:r>
    </w:p>
    <w:p w14:paraId="5176D8F8" w14:textId="77777777" w:rsidR="005413EB" w:rsidRPr="00925073" w:rsidRDefault="005413EB" w:rsidP="00DA7889">
      <w:pPr>
        <w:numPr>
          <w:ilvl w:val="0"/>
          <w:numId w:val="13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Funciones</w:t>
      </w:r>
      <w:r w:rsidRPr="00925073">
        <w:rPr>
          <w:rFonts w:ascii="Cambria" w:hAnsi="Cambria"/>
        </w:rPr>
        <w:t>: Supervisión de sectores económicos, resolución de conflictos entre operadores, promoción de la competencia y vigilancia de la Unidad de Mercado.</w:t>
      </w:r>
    </w:p>
    <w:p w14:paraId="576E8C6A" w14:textId="06A5713E" w:rsidR="005413EB" w:rsidRPr="00925073" w:rsidRDefault="005413EB" w:rsidP="00DA788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25073">
        <w:rPr>
          <w:rFonts w:ascii="Cambria" w:hAnsi="Cambria"/>
          <w:b/>
          <w:bCs/>
          <w:color w:val="auto"/>
          <w:sz w:val="28"/>
          <w:szCs w:val="28"/>
        </w:rPr>
        <w:t>5. COORDINACIÓN ESTADO- CCAA</w:t>
      </w:r>
    </w:p>
    <w:p w14:paraId="470DB50B" w14:textId="77777777" w:rsidR="005413EB" w:rsidRPr="00925073" w:rsidRDefault="005413EB" w:rsidP="00DA7889">
      <w:pPr>
        <w:numPr>
          <w:ilvl w:val="0"/>
          <w:numId w:val="14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Fundamento</w:t>
      </w:r>
      <w:r w:rsidRPr="00925073">
        <w:rPr>
          <w:rFonts w:ascii="Cambria" w:hAnsi="Cambria"/>
        </w:rPr>
        <w:t>: Sentencia 208/1999 del Tribunal Constitucional.</w:t>
      </w:r>
    </w:p>
    <w:p w14:paraId="73E74E78" w14:textId="77777777" w:rsidR="005413EB" w:rsidRPr="00925073" w:rsidRDefault="005413EB" w:rsidP="00DA7889">
      <w:pPr>
        <w:numPr>
          <w:ilvl w:val="0"/>
          <w:numId w:val="14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Reparto de competencias (Ley 1/2002)</w:t>
      </w:r>
      <w:r w:rsidRPr="00925073">
        <w:rPr>
          <w:rFonts w:ascii="Cambria" w:hAnsi="Cambria"/>
        </w:rPr>
        <w:t>:</w:t>
      </w:r>
    </w:p>
    <w:p w14:paraId="0BBA4BE1" w14:textId="10438313" w:rsidR="005413EB" w:rsidRPr="00925073" w:rsidRDefault="005413EB" w:rsidP="00DA7889">
      <w:pPr>
        <w:numPr>
          <w:ilvl w:val="1"/>
          <w:numId w:val="14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Estado</w:t>
      </w:r>
      <w:r w:rsidRPr="00925073">
        <w:rPr>
          <w:rFonts w:ascii="Cambria" w:hAnsi="Cambria"/>
        </w:rPr>
        <w:t>: Conductas que afecten a un ámbito supra autonómico o al mercado nacional en su conjunto.</w:t>
      </w:r>
    </w:p>
    <w:p w14:paraId="04FDBB00" w14:textId="1816F3DA" w:rsidR="005413EB" w:rsidRPr="00925073" w:rsidRDefault="005413EB" w:rsidP="00DA7889">
      <w:pPr>
        <w:numPr>
          <w:ilvl w:val="1"/>
          <w:numId w:val="14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CCAA</w:t>
      </w:r>
      <w:r w:rsidRPr="00925073">
        <w:rPr>
          <w:rFonts w:ascii="Cambria" w:hAnsi="Cambria"/>
        </w:rPr>
        <w:t>: Actuaciones ejecutivas en su territorio que no afecten al mercado supra autonómico.</w:t>
      </w:r>
    </w:p>
    <w:p w14:paraId="14FBB4B0" w14:textId="77777777" w:rsidR="005413EB" w:rsidRPr="00925073" w:rsidRDefault="005413EB" w:rsidP="00DA7889">
      <w:pPr>
        <w:numPr>
          <w:ilvl w:val="0"/>
          <w:numId w:val="14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Situación de los órganos autonómicos (Memoria 2023)</w:t>
      </w:r>
      <w:r w:rsidRPr="00925073">
        <w:rPr>
          <w:rFonts w:ascii="Cambria" w:hAnsi="Cambria"/>
        </w:rPr>
        <w:t>:</w:t>
      </w:r>
    </w:p>
    <w:p w14:paraId="174F7492" w14:textId="77777777" w:rsidR="005413EB" w:rsidRPr="00925073" w:rsidRDefault="005413EB" w:rsidP="00DA7889">
      <w:pPr>
        <w:numPr>
          <w:ilvl w:val="1"/>
          <w:numId w:val="15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Modelo completo (instrucción y resolución)</w:t>
      </w:r>
      <w:r w:rsidRPr="00925073">
        <w:rPr>
          <w:rFonts w:ascii="Cambria" w:hAnsi="Cambria"/>
        </w:rPr>
        <w:t>: 9 CCAA (Andalucía, Aragón, Canarias, Castilla y León, Cataluña, Comunidad Valenciana, Extremadura, Galicia y País Vasco).</w:t>
      </w:r>
    </w:p>
    <w:p w14:paraId="5E37B418" w14:textId="77777777" w:rsidR="005413EB" w:rsidRPr="00925073" w:rsidRDefault="005413EB" w:rsidP="00DA7889">
      <w:pPr>
        <w:numPr>
          <w:ilvl w:val="1"/>
          <w:numId w:val="15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Solo instrucción (resuelve CNMC)</w:t>
      </w:r>
      <w:r w:rsidRPr="00925073">
        <w:rPr>
          <w:rFonts w:ascii="Cambria" w:hAnsi="Cambria"/>
        </w:rPr>
        <w:t>: 3 CCAA (Madrid, Murcia y Navarra).</w:t>
      </w:r>
    </w:p>
    <w:p w14:paraId="1A04D942" w14:textId="77777777" w:rsidR="005413EB" w:rsidRPr="00925073" w:rsidRDefault="005413EB" w:rsidP="00DA7889">
      <w:pPr>
        <w:numPr>
          <w:ilvl w:val="1"/>
          <w:numId w:val="15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lastRenderedPageBreak/>
        <w:t>Sin autoridad propia (Convenio con CNMC)</w:t>
      </w:r>
      <w:r w:rsidRPr="00925073">
        <w:rPr>
          <w:rFonts w:ascii="Cambria" w:hAnsi="Cambria"/>
        </w:rPr>
        <w:t>: Asturias, Baleares, Castilla-La Mancha y La Rioja.</w:t>
      </w:r>
    </w:p>
    <w:p w14:paraId="470F78F7" w14:textId="77777777" w:rsidR="005413EB" w:rsidRPr="00925073" w:rsidRDefault="005413EB" w:rsidP="00DA7889">
      <w:pPr>
        <w:numPr>
          <w:ilvl w:val="1"/>
          <w:numId w:val="15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Sin autoridad ni convenio</w:t>
      </w:r>
      <w:r w:rsidRPr="00925073">
        <w:rPr>
          <w:rFonts w:ascii="Cambria" w:hAnsi="Cambria"/>
        </w:rPr>
        <w:t>: Cantabria.</w:t>
      </w:r>
    </w:p>
    <w:p w14:paraId="37A07A37" w14:textId="544F6C92" w:rsidR="005413EB" w:rsidRPr="00925073" w:rsidRDefault="005413EB" w:rsidP="00DA788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25073">
        <w:rPr>
          <w:rFonts w:ascii="Cambria" w:hAnsi="Cambria"/>
          <w:b/>
          <w:bCs/>
          <w:color w:val="auto"/>
          <w:sz w:val="28"/>
          <w:szCs w:val="28"/>
        </w:rPr>
        <w:t>6. COOPERACIÓN INTERNACIONAL</w:t>
      </w:r>
    </w:p>
    <w:p w14:paraId="227D6BB2" w14:textId="77777777" w:rsidR="005413EB" w:rsidRPr="00925073" w:rsidRDefault="005413EB" w:rsidP="00DA7889">
      <w:pPr>
        <w:numPr>
          <w:ilvl w:val="0"/>
          <w:numId w:val="16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En la UE</w:t>
      </w:r>
      <w:r w:rsidRPr="00925073">
        <w:rPr>
          <w:rFonts w:ascii="Cambria" w:hAnsi="Cambria"/>
        </w:rPr>
        <w:t>: Red Europea de Competencia (coordinación entre la Comisión Europea y autoridades nacionales).</w:t>
      </w:r>
    </w:p>
    <w:p w14:paraId="40994BBA" w14:textId="77777777" w:rsidR="005413EB" w:rsidRPr="00925073" w:rsidRDefault="005413EB" w:rsidP="00DA7889">
      <w:pPr>
        <w:numPr>
          <w:ilvl w:val="0"/>
          <w:numId w:val="16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Foros Internacionales</w:t>
      </w:r>
      <w:r w:rsidRPr="00925073">
        <w:rPr>
          <w:rFonts w:ascii="Cambria" w:hAnsi="Cambria"/>
        </w:rPr>
        <w:t>:</w:t>
      </w:r>
    </w:p>
    <w:p w14:paraId="53FB0406" w14:textId="77777777" w:rsidR="005413EB" w:rsidRPr="00925073" w:rsidRDefault="005413EB" w:rsidP="00DA7889">
      <w:pPr>
        <w:numPr>
          <w:ilvl w:val="1"/>
          <w:numId w:val="16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ICN (International Competition Network)</w:t>
      </w:r>
      <w:r w:rsidRPr="00925073">
        <w:rPr>
          <w:rFonts w:ascii="Cambria" w:hAnsi="Cambria"/>
        </w:rPr>
        <w:t>: Foro informal para converger en principios comunes.</w:t>
      </w:r>
    </w:p>
    <w:p w14:paraId="5FD631C5" w14:textId="77777777" w:rsidR="005413EB" w:rsidRPr="00925073" w:rsidRDefault="005413EB" w:rsidP="00DA7889">
      <w:pPr>
        <w:numPr>
          <w:ilvl w:val="1"/>
          <w:numId w:val="16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ECA (</w:t>
      </w:r>
      <w:proofErr w:type="spellStart"/>
      <w:r w:rsidRPr="00925073">
        <w:rPr>
          <w:rFonts w:ascii="Cambria" w:hAnsi="Cambria"/>
          <w:b/>
          <w:bCs/>
        </w:rPr>
        <w:t>European</w:t>
      </w:r>
      <w:proofErr w:type="spellEnd"/>
      <w:r w:rsidRPr="00925073">
        <w:rPr>
          <w:rFonts w:ascii="Cambria" w:hAnsi="Cambria"/>
          <w:b/>
          <w:bCs/>
        </w:rPr>
        <w:t xml:space="preserve"> Competition </w:t>
      </w:r>
      <w:proofErr w:type="spellStart"/>
      <w:r w:rsidRPr="00925073">
        <w:rPr>
          <w:rFonts w:ascii="Cambria" w:hAnsi="Cambria"/>
          <w:b/>
          <w:bCs/>
        </w:rPr>
        <w:t>Authorities</w:t>
      </w:r>
      <w:proofErr w:type="spellEnd"/>
      <w:r w:rsidRPr="00925073">
        <w:rPr>
          <w:rFonts w:ascii="Cambria" w:hAnsi="Cambria"/>
          <w:b/>
          <w:bCs/>
        </w:rPr>
        <w:t>)</w:t>
      </w:r>
      <w:r w:rsidRPr="00925073">
        <w:rPr>
          <w:rFonts w:ascii="Cambria" w:hAnsi="Cambria"/>
        </w:rPr>
        <w:t>: Foro de las autoridades del Espacio Económico Europeo.</w:t>
      </w:r>
    </w:p>
    <w:p w14:paraId="3740395E" w14:textId="77777777" w:rsidR="005413EB" w:rsidRPr="00925073" w:rsidRDefault="005413EB" w:rsidP="00DA7889">
      <w:pPr>
        <w:numPr>
          <w:ilvl w:val="1"/>
          <w:numId w:val="16"/>
        </w:numPr>
        <w:jc w:val="both"/>
        <w:rPr>
          <w:rFonts w:ascii="Cambria" w:hAnsi="Cambria"/>
        </w:rPr>
      </w:pPr>
      <w:r w:rsidRPr="00925073">
        <w:rPr>
          <w:rFonts w:ascii="Cambria" w:hAnsi="Cambria"/>
          <w:b/>
          <w:bCs/>
        </w:rPr>
        <w:t>Otros</w:t>
      </w:r>
      <w:r w:rsidRPr="00925073">
        <w:rPr>
          <w:rFonts w:ascii="Cambria" w:hAnsi="Cambria"/>
        </w:rPr>
        <w:t>: OCDE, OMC y UNCTAD.</w:t>
      </w:r>
    </w:p>
    <w:p w14:paraId="58FE7758" w14:textId="77777777" w:rsidR="00A65383" w:rsidRPr="00925073" w:rsidRDefault="00A65383" w:rsidP="00DA7889">
      <w:pPr>
        <w:jc w:val="both"/>
        <w:rPr>
          <w:rFonts w:ascii="Cambria" w:hAnsi="Cambria"/>
        </w:rPr>
      </w:pPr>
    </w:p>
    <w:sectPr w:rsidR="00A65383" w:rsidRPr="0092507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24B9" w14:textId="77777777" w:rsidR="005413EB" w:rsidRDefault="005413EB" w:rsidP="005413EB">
      <w:pPr>
        <w:spacing w:after="0" w:line="240" w:lineRule="auto"/>
      </w:pPr>
      <w:r>
        <w:separator/>
      </w:r>
    </w:p>
  </w:endnote>
  <w:endnote w:type="continuationSeparator" w:id="0">
    <w:p w14:paraId="565E8D14" w14:textId="77777777" w:rsidR="005413EB" w:rsidRDefault="005413EB" w:rsidP="00541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836AA" w14:textId="77777777" w:rsidR="005413EB" w:rsidRDefault="005413EB" w:rsidP="005413EB">
      <w:pPr>
        <w:spacing w:after="0" w:line="240" w:lineRule="auto"/>
      </w:pPr>
      <w:r>
        <w:separator/>
      </w:r>
    </w:p>
  </w:footnote>
  <w:footnote w:type="continuationSeparator" w:id="0">
    <w:p w14:paraId="331AC961" w14:textId="77777777" w:rsidR="005413EB" w:rsidRDefault="005413EB" w:rsidP="00541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FBE5A" w14:textId="1D987AD4" w:rsidR="005413EB" w:rsidRPr="005413EB" w:rsidRDefault="005413EB" w:rsidP="005413EB">
    <w:pPr>
      <w:pStyle w:val="Encabezado"/>
      <w:tabs>
        <w:tab w:val="left" w:pos="142"/>
      </w:tabs>
      <w:jc w:val="both"/>
      <w:rPr>
        <w:rFonts w:ascii="Palatino Linotype" w:hAnsi="Palatino Linotype"/>
        <w:i/>
        <w:iCs/>
      </w:rPr>
    </w:pPr>
    <w:r w:rsidRPr="005413EB">
      <w:rPr>
        <w:rFonts w:ascii="Palatino Linotype" w:hAnsi="Palatino Linotype"/>
        <w:b/>
        <w:bCs/>
        <w:i/>
        <w:iCs/>
      </w:rPr>
      <w:t>TEMA 25 -</w:t>
    </w:r>
    <w:r w:rsidRPr="005413EB">
      <w:rPr>
        <w:rFonts w:ascii="Palatino Linotype" w:hAnsi="Palatino Linotype"/>
        <w:i/>
        <w:iCs/>
      </w:rPr>
      <w:t xml:space="preserve"> La defensa de la libre competencia en España. Ley de defensa de la competencia. La aplicación en España de las normas comunitarias de competencia. Instituciones estatales de defensa de la competencia: Organización y funciones. Coordinación de las competencias del Estado y las Comunidades Autónomas en materia de defensa de la competencia. Órganos de competencia de las Comunidades Autónomas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009D"/>
    <w:multiLevelType w:val="multilevel"/>
    <w:tmpl w:val="902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2147"/>
    <w:multiLevelType w:val="multilevel"/>
    <w:tmpl w:val="9D1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E3184"/>
    <w:multiLevelType w:val="multilevel"/>
    <w:tmpl w:val="B30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F2857"/>
    <w:multiLevelType w:val="multilevel"/>
    <w:tmpl w:val="99F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4115E"/>
    <w:multiLevelType w:val="multilevel"/>
    <w:tmpl w:val="DDF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56912"/>
    <w:multiLevelType w:val="multilevel"/>
    <w:tmpl w:val="2FD4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777BE"/>
    <w:multiLevelType w:val="multilevel"/>
    <w:tmpl w:val="2336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152C9"/>
    <w:multiLevelType w:val="multilevel"/>
    <w:tmpl w:val="3C28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B386E"/>
    <w:multiLevelType w:val="multilevel"/>
    <w:tmpl w:val="0DA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86BB7"/>
    <w:multiLevelType w:val="multilevel"/>
    <w:tmpl w:val="2440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405E8"/>
    <w:multiLevelType w:val="multilevel"/>
    <w:tmpl w:val="8932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07513"/>
    <w:multiLevelType w:val="multilevel"/>
    <w:tmpl w:val="77B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42B4C"/>
    <w:multiLevelType w:val="hybridMultilevel"/>
    <w:tmpl w:val="932C7A10"/>
    <w:lvl w:ilvl="0" w:tplc="26FAAC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DC449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7E88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D52A2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458F8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FD01B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EF6E0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B56C5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4384E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80578">
    <w:abstractNumId w:val="5"/>
  </w:num>
  <w:num w:numId="2" w16cid:durableId="580020946">
    <w:abstractNumId w:val="4"/>
  </w:num>
  <w:num w:numId="3" w16cid:durableId="424886412">
    <w:abstractNumId w:val="6"/>
  </w:num>
  <w:num w:numId="4" w16cid:durableId="1710567664">
    <w:abstractNumId w:val="10"/>
  </w:num>
  <w:num w:numId="5" w16cid:durableId="1261835010">
    <w:abstractNumId w:val="2"/>
  </w:num>
  <w:num w:numId="6" w16cid:durableId="608317403">
    <w:abstractNumId w:val="9"/>
  </w:num>
  <w:num w:numId="7" w16cid:durableId="2140415359">
    <w:abstractNumId w:val="8"/>
  </w:num>
  <w:num w:numId="8" w16cid:durableId="2069649466">
    <w:abstractNumId w:val="3"/>
  </w:num>
  <w:num w:numId="9" w16cid:durableId="1948661914">
    <w:abstractNumId w:val="7"/>
  </w:num>
  <w:num w:numId="10" w16cid:durableId="120924039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11065882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96621527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932540344">
    <w:abstractNumId w:val="1"/>
  </w:num>
  <w:num w:numId="14" w16cid:durableId="533465781">
    <w:abstractNumId w:val="11"/>
  </w:num>
  <w:num w:numId="15" w16cid:durableId="216860461">
    <w:abstractNumId w:val="12"/>
  </w:num>
  <w:num w:numId="16" w16cid:durableId="140510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EB"/>
    <w:rsid w:val="004A7922"/>
    <w:rsid w:val="005413EB"/>
    <w:rsid w:val="005803BC"/>
    <w:rsid w:val="00816FFE"/>
    <w:rsid w:val="00925073"/>
    <w:rsid w:val="00932A0C"/>
    <w:rsid w:val="00A65383"/>
    <w:rsid w:val="00A8675C"/>
    <w:rsid w:val="00C12CFD"/>
    <w:rsid w:val="00CD5CD8"/>
    <w:rsid w:val="00DA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9B0E6"/>
  <w15:chartTrackingRefBased/>
  <w15:docId w15:val="{7462FA6E-0D0F-42F3-8F6A-869C9E334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41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1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3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3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3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3EB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413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3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3E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13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13EB"/>
  </w:style>
  <w:style w:type="paragraph" w:styleId="Piedepgina">
    <w:name w:val="footer"/>
    <w:basedOn w:val="Normal"/>
    <w:link w:val="PiedepginaCar"/>
    <w:uiPriority w:val="99"/>
    <w:unhideWhenUsed/>
    <w:rsid w:val="005413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725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5</cp:revision>
  <dcterms:created xsi:type="dcterms:W3CDTF">2026-01-05T20:34:00Z</dcterms:created>
  <dcterms:modified xsi:type="dcterms:W3CDTF">2026-01-16T14:57:00Z</dcterms:modified>
</cp:coreProperties>
</file>