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F1CD" w14:textId="77777777" w:rsidR="00524E58" w:rsidRPr="009D5D62" w:rsidRDefault="00524E58" w:rsidP="009D5D6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D5D62">
        <w:rPr>
          <w:rFonts w:ascii="Cambria" w:hAnsi="Cambria"/>
          <w:b/>
          <w:bCs/>
          <w:color w:val="auto"/>
          <w:sz w:val="28"/>
          <w:szCs w:val="28"/>
        </w:rPr>
        <w:t>1. INTRODUCCIÓN Y MARCO NORMATIVO</w:t>
      </w:r>
    </w:p>
    <w:p w14:paraId="4226CEA7" w14:textId="77777777" w:rsidR="00F5357E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1.1. Naturaleza del Derecho Administrativo</w:t>
      </w:r>
    </w:p>
    <w:p w14:paraId="5EC7955F" w14:textId="77777777" w:rsidR="00F5357E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Derecho estatutario, completo y cerrado que regula la organización y actividad de las Administraciones Públicas. </w:t>
      </w:r>
    </w:p>
    <w:p w14:paraId="1303EDA3" w14:textId="29BA51CD" w:rsidR="00524E58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1.2. Pilares Legislativos Actuales</w:t>
      </w:r>
    </w:p>
    <w:p w14:paraId="18C0477B" w14:textId="77777777" w:rsidR="00524E58" w:rsidRPr="009D5D62" w:rsidRDefault="00524E58" w:rsidP="009D5D62">
      <w:pPr>
        <w:numPr>
          <w:ilvl w:val="0"/>
          <w:numId w:val="1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Ley 39/2015 (LPACAP):</w:t>
      </w:r>
      <w:r w:rsidRPr="009D5D62">
        <w:rPr>
          <w:rFonts w:ascii="Cambria" w:hAnsi="Cambria"/>
        </w:rPr>
        <w:t xml:space="preserve"> Relaciones externas (</w:t>
      </w:r>
      <w:r w:rsidRPr="009D5D62">
        <w:rPr>
          <w:rFonts w:ascii="Cambria" w:hAnsi="Cambria"/>
          <w:i/>
          <w:iCs/>
        </w:rPr>
        <w:t>ad extra</w:t>
      </w:r>
      <w:r w:rsidRPr="009D5D62">
        <w:rPr>
          <w:rFonts w:ascii="Cambria" w:hAnsi="Cambria"/>
        </w:rPr>
        <w:t>) de las Administraciones con ciudadanos y empresas.</w:t>
      </w:r>
    </w:p>
    <w:p w14:paraId="2382F52E" w14:textId="77777777" w:rsidR="00524E58" w:rsidRPr="009D5D62" w:rsidRDefault="00524E58" w:rsidP="009D5D62">
      <w:pPr>
        <w:numPr>
          <w:ilvl w:val="0"/>
          <w:numId w:val="1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Ley 40/2015 (LRJSP):</w:t>
      </w:r>
      <w:r w:rsidRPr="009D5D62">
        <w:rPr>
          <w:rFonts w:ascii="Cambria" w:hAnsi="Cambria"/>
        </w:rPr>
        <w:t xml:space="preserve"> Relaciones internas (</w:t>
      </w:r>
      <w:r w:rsidRPr="009D5D62">
        <w:rPr>
          <w:rFonts w:ascii="Cambria" w:hAnsi="Cambria"/>
          <w:i/>
          <w:iCs/>
        </w:rPr>
        <w:t>ad intra</w:t>
      </w:r>
      <w:r w:rsidRPr="009D5D62">
        <w:rPr>
          <w:rFonts w:ascii="Cambria" w:hAnsi="Cambria"/>
        </w:rPr>
        <w:t>) del Sector Público.</w:t>
      </w:r>
    </w:p>
    <w:p w14:paraId="7204A1BA" w14:textId="77777777" w:rsidR="00524E58" w:rsidRPr="009D5D62" w:rsidRDefault="00524E58" w:rsidP="009D5D6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D5D62">
        <w:rPr>
          <w:rFonts w:ascii="Cambria" w:hAnsi="Cambria"/>
          <w:b/>
          <w:bCs/>
          <w:color w:val="auto"/>
          <w:sz w:val="28"/>
          <w:szCs w:val="28"/>
        </w:rPr>
        <w:t>2. CONCEPTO Y CLASIFICACIÓN</w:t>
      </w:r>
    </w:p>
    <w:p w14:paraId="28E5DF5E" w14:textId="77777777" w:rsidR="00524E58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2.1. Concepto</w:t>
      </w:r>
    </w:p>
    <w:p w14:paraId="65BD521D" w14:textId="612D7B73" w:rsidR="00524E58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Decisión unilateral ejecutoria de la Administración en la que se concreta el ejercicio de una potestad administrativa. Según Guido Zanobini, es cualquier declaración de voluntad, deseo, conocimiento o juicio realizada por un sujeto de la Administración Pública. </w:t>
      </w:r>
    </w:p>
    <w:p w14:paraId="36BD495E" w14:textId="3E4E87D2" w:rsidR="00524E58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2.2. Clasificación Material:</w:t>
      </w:r>
    </w:p>
    <w:p w14:paraId="16B46B1A" w14:textId="036E6CBF" w:rsidR="00524E58" w:rsidRPr="009D5D62" w:rsidRDefault="00524E58" w:rsidP="009D5D62">
      <w:pPr>
        <w:numPr>
          <w:ilvl w:val="0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Por sujetos:</w:t>
      </w:r>
      <w:r w:rsidRPr="009D5D62">
        <w:rPr>
          <w:rFonts w:ascii="Cambria" w:hAnsi="Cambria"/>
        </w:rPr>
        <w:t xml:space="preserve">  Simples (una sola Administración) o Complejos (varias Administraciones).</w:t>
      </w:r>
    </w:p>
    <w:p w14:paraId="227D70A8" w14:textId="77777777" w:rsidR="00524E58" w:rsidRPr="009D5D62" w:rsidRDefault="00524E58" w:rsidP="009D5D62">
      <w:pPr>
        <w:numPr>
          <w:ilvl w:val="1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</w:rPr>
        <w:t>Generales (pluralidad indeterminada) o Singulares (destinatarios identificados).</w:t>
      </w:r>
    </w:p>
    <w:p w14:paraId="415796F3" w14:textId="77777777" w:rsidR="00524E58" w:rsidRPr="009D5D62" w:rsidRDefault="00524E58" w:rsidP="009D5D62">
      <w:pPr>
        <w:numPr>
          <w:ilvl w:val="1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</w:rPr>
        <w:t>Unilaterales (solo voluntad administrativa) o Bilaterales (requieren voluntad del destinatario).</w:t>
      </w:r>
    </w:p>
    <w:p w14:paraId="5846D1C6" w14:textId="77777777" w:rsidR="00524E58" w:rsidRPr="009D5D62" w:rsidRDefault="00524E58" w:rsidP="009D5D62">
      <w:pPr>
        <w:numPr>
          <w:ilvl w:val="0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Por contenido:</w:t>
      </w:r>
    </w:p>
    <w:p w14:paraId="2FEA8F8B" w14:textId="77777777" w:rsidR="00524E58" w:rsidRPr="009D5D62" w:rsidRDefault="00524E58" w:rsidP="009D5D62">
      <w:pPr>
        <w:numPr>
          <w:ilvl w:val="1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</w:rPr>
        <w:t>Decisorios (modifican situaciones jurídicas) o No decisorios (juicio o valoración).</w:t>
      </w:r>
    </w:p>
    <w:p w14:paraId="54918F94" w14:textId="77777777" w:rsidR="00524E58" w:rsidRPr="009D5D62" w:rsidRDefault="00524E58" w:rsidP="009D5D62">
      <w:pPr>
        <w:numPr>
          <w:ilvl w:val="1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</w:rPr>
        <w:t>Favorables (amplían derechos) o Ablatorios (limitan derechos o imponen cargas).</w:t>
      </w:r>
    </w:p>
    <w:p w14:paraId="6F3DF090" w14:textId="77777777" w:rsidR="00524E58" w:rsidRPr="009D5D62" w:rsidRDefault="00524E58" w:rsidP="009D5D62">
      <w:pPr>
        <w:numPr>
          <w:ilvl w:val="1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</w:rPr>
        <w:t>Reales (sobre cosas) o Personales (sobre personas).</w:t>
      </w:r>
    </w:p>
    <w:p w14:paraId="27DFECB6" w14:textId="77777777" w:rsidR="009D5D62" w:rsidRDefault="00524E58" w:rsidP="009D5D62">
      <w:pPr>
        <w:numPr>
          <w:ilvl w:val="1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Constitutivos (crean situaciones </w:t>
      </w:r>
      <w:r w:rsidRPr="009D5D62">
        <w:rPr>
          <w:rFonts w:ascii="Cambria" w:hAnsi="Cambria"/>
          <w:i/>
          <w:iCs/>
        </w:rPr>
        <w:t xml:space="preserve">ex </w:t>
      </w:r>
      <w:proofErr w:type="spellStart"/>
      <w:r w:rsidRPr="009D5D62">
        <w:rPr>
          <w:rFonts w:ascii="Cambria" w:hAnsi="Cambria"/>
          <w:i/>
          <w:iCs/>
        </w:rPr>
        <w:t>novo</w:t>
      </w:r>
      <w:proofErr w:type="spellEnd"/>
      <w:r w:rsidRPr="009D5D62">
        <w:rPr>
          <w:rFonts w:ascii="Cambria" w:hAnsi="Cambria"/>
        </w:rPr>
        <w:t xml:space="preserve">) o Declarativos (reconocen situaciones previas). </w:t>
      </w:r>
    </w:p>
    <w:p w14:paraId="3642AF50" w14:textId="5488CB2C" w:rsidR="00524E58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2.3. Clasificación Formal (Procesal):</w:t>
      </w:r>
    </w:p>
    <w:p w14:paraId="374C523A" w14:textId="77777777" w:rsidR="00524E58" w:rsidRPr="009D5D62" w:rsidRDefault="00524E58" w:rsidP="009D5D62">
      <w:pPr>
        <w:numPr>
          <w:ilvl w:val="0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Definitivos:</w:t>
      </w:r>
      <w:r w:rsidRPr="009D5D62">
        <w:rPr>
          <w:rFonts w:ascii="Cambria" w:hAnsi="Cambria"/>
        </w:rPr>
        <w:t xml:space="preserve"> Resoluciones que ponen fin al procedimiento; son susceptibles de recurso.</w:t>
      </w:r>
    </w:p>
    <w:p w14:paraId="05FB3D76" w14:textId="77777777" w:rsidR="00524E58" w:rsidRPr="009D5D62" w:rsidRDefault="00524E58" w:rsidP="009D5D62">
      <w:pPr>
        <w:numPr>
          <w:ilvl w:val="0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lastRenderedPageBreak/>
        <w:t>De trámite:</w:t>
      </w:r>
      <w:r w:rsidRPr="009D5D62">
        <w:rPr>
          <w:rFonts w:ascii="Cambria" w:hAnsi="Cambria"/>
        </w:rPr>
        <w:t xml:space="preserve"> Actos intermedios.</w:t>
      </w:r>
    </w:p>
    <w:p w14:paraId="127188CC" w14:textId="77777777" w:rsidR="00524E58" w:rsidRPr="009D5D62" w:rsidRDefault="00524E58" w:rsidP="009D5D62">
      <w:pPr>
        <w:numPr>
          <w:ilvl w:val="0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Ponen fin a la vía administrativa:</w:t>
      </w:r>
      <w:r w:rsidRPr="009D5D62">
        <w:rPr>
          <w:rFonts w:ascii="Cambria" w:hAnsi="Cambria"/>
        </w:rPr>
        <w:t xml:space="preserve"> Solo admiten recurso contencioso-administrativo o reposición potestativo.</w:t>
      </w:r>
    </w:p>
    <w:p w14:paraId="2899C50A" w14:textId="77777777" w:rsidR="00524E58" w:rsidRPr="009D5D62" w:rsidRDefault="00524E58" w:rsidP="009D5D62">
      <w:pPr>
        <w:numPr>
          <w:ilvl w:val="0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No agotan la vía administrativa:</w:t>
      </w:r>
      <w:r w:rsidRPr="009D5D62">
        <w:rPr>
          <w:rFonts w:ascii="Cambria" w:hAnsi="Cambria"/>
        </w:rPr>
        <w:t xml:space="preserve"> Permiten interponer recurso de alzada ante el superior.</w:t>
      </w:r>
    </w:p>
    <w:p w14:paraId="2E28DCB0" w14:textId="77777777" w:rsidR="00524E58" w:rsidRPr="009D5D62" w:rsidRDefault="00524E58" w:rsidP="009D5D62">
      <w:pPr>
        <w:numPr>
          <w:ilvl w:val="0"/>
          <w:numId w:val="2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Expresos y Presuntos:</w:t>
      </w:r>
      <w:r w:rsidRPr="009D5D62">
        <w:rPr>
          <w:rFonts w:ascii="Cambria" w:hAnsi="Cambria"/>
        </w:rPr>
        <w:t xml:space="preserve"> Estos últimos derivan de la falta de actuación (silencio administrativo).</w:t>
      </w:r>
    </w:p>
    <w:p w14:paraId="70A70D6C" w14:textId="77777777" w:rsidR="00524E58" w:rsidRPr="009D5D62" w:rsidRDefault="00524E58" w:rsidP="009D5D6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D5D62">
        <w:rPr>
          <w:rFonts w:ascii="Cambria" w:hAnsi="Cambria"/>
          <w:b/>
          <w:bCs/>
          <w:color w:val="auto"/>
          <w:sz w:val="28"/>
          <w:szCs w:val="28"/>
        </w:rPr>
        <w:t>3. ELEMENTOS DE VALIDEZ DEL ACTO</w:t>
      </w:r>
    </w:p>
    <w:p w14:paraId="78309AB8" w14:textId="03F516D1" w:rsidR="00F5357E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3.1. Sujeto</w:t>
      </w:r>
    </w:p>
    <w:p w14:paraId="53BADEFF" w14:textId="1BE9ECDD" w:rsidR="00524E58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>Dictado por Administración competente, órgano legalmente investido e imparcial.</w:t>
      </w:r>
    </w:p>
    <w:p w14:paraId="55F3E4AD" w14:textId="01FB19EC" w:rsidR="00F5357E" w:rsidRPr="009D5D62" w:rsidRDefault="00F5357E" w:rsidP="009D5D62">
      <w:pPr>
        <w:pStyle w:val="Ttulo3"/>
        <w:ind w:left="708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 xml:space="preserve">3.1.1 </w:t>
      </w:r>
      <w:r w:rsidR="00524E58" w:rsidRPr="009D5D62">
        <w:rPr>
          <w:rFonts w:ascii="Cambria" w:hAnsi="Cambria"/>
          <w:b/>
          <w:bCs/>
          <w:color w:val="auto"/>
          <w:sz w:val="24"/>
          <w:szCs w:val="24"/>
        </w:rPr>
        <w:t>Abstención y Recusación (Ley 40/2015)</w:t>
      </w:r>
    </w:p>
    <w:p w14:paraId="7B20BC3A" w14:textId="77777777" w:rsidR="00F5357E" w:rsidRPr="009D5D62" w:rsidRDefault="00524E58" w:rsidP="009D5D62">
      <w:pPr>
        <w:ind w:left="708"/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Motivos como interés personal, parentesco (4º grado consanguinidad/2º afinidad), amistad/enemistad o relación de servicio. </w:t>
      </w:r>
    </w:p>
    <w:p w14:paraId="608EBC3C" w14:textId="77777777" w:rsidR="00F5357E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3.2. Objeto</w:t>
      </w:r>
    </w:p>
    <w:p w14:paraId="28850BBA" w14:textId="77777777" w:rsidR="00F5357E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Contenido ajustado a Derecho, determinado, posible, proporcional y adecuado al fin. </w:t>
      </w:r>
    </w:p>
    <w:p w14:paraId="42C467E3" w14:textId="03D23E12" w:rsidR="00F5357E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 xml:space="preserve">3.3. Forma </w:t>
      </w:r>
    </w:p>
    <w:p w14:paraId="2FFEA585" w14:textId="77777777" w:rsidR="00F5357E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Por escrito a través de medios electrónicos (Art. 36.1 Ley 39/2015). Excepcionalmente verbales (requieren constancia escrita posterior). </w:t>
      </w:r>
    </w:p>
    <w:p w14:paraId="389FF057" w14:textId="77777777" w:rsidR="00F5357E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3.4. Fin y Causa</w:t>
      </w:r>
      <w:r w:rsidR="00F5357E" w:rsidRPr="009D5D62">
        <w:rPr>
          <w:rFonts w:ascii="Cambria" w:hAnsi="Cambria"/>
          <w:b/>
          <w:bCs/>
          <w:color w:val="auto"/>
          <w:sz w:val="24"/>
          <w:szCs w:val="24"/>
        </w:rPr>
        <w:t xml:space="preserve"> </w:t>
      </w:r>
    </w:p>
    <w:p w14:paraId="4309B2BB" w14:textId="0648F9B3" w:rsidR="00524E58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>El fin debe ser siempre el interés público (Art. 103 CE). La causa es la razón de hecho y derecho que justifica el acto.</w:t>
      </w:r>
    </w:p>
    <w:p w14:paraId="661A7E75" w14:textId="77777777" w:rsidR="00524E58" w:rsidRPr="009D5D62" w:rsidRDefault="00524E58" w:rsidP="009D5D6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D5D62">
        <w:rPr>
          <w:rFonts w:ascii="Cambria" w:hAnsi="Cambria"/>
          <w:b/>
          <w:bCs/>
          <w:color w:val="auto"/>
          <w:sz w:val="28"/>
          <w:szCs w:val="28"/>
        </w:rPr>
        <w:t>4. MOTIVACIÓN Y NOTIFICACIÓN</w:t>
      </w:r>
    </w:p>
    <w:p w14:paraId="21DA593B" w14:textId="7BD19D93" w:rsidR="00F5357E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4.1. Motivación (Art. 35 Ley 39/2015)</w:t>
      </w:r>
    </w:p>
    <w:p w14:paraId="3EF4A94F" w14:textId="3D41D6CD" w:rsidR="00524E58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>Referencia sucinta de hechos y fundamentos de derecho obligatoria para actos que limiten derechos, resuelvan recursos, se aparten de criterios precedentes, acuerdos de suspensión, tramitación de urgencia o potestades discrecionales.</w:t>
      </w:r>
    </w:p>
    <w:p w14:paraId="21723622" w14:textId="4B100DF8" w:rsidR="00524E58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4.2. Notificación (Art. 40-44 Ley 39/2015):</w:t>
      </w:r>
    </w:p>
    <w:p w14:paraId="359371D8" w14:textId="77777777" w:rsidR="00524E58" w:rsidRPr="009D5D62" w:rsidRDefault="00524E58" w:rsidP="009D5D62">
      <w:pPr>
        <w:numPr>
          <w:ilvl w:val="0"/>
          <w:numId w:val="4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Plazo:</w:t>
      </w:r>
      <w:r w:rsidRPr="009D5D62">
        <w:rPr>
          <w:rFonts w:ascii="Cambria" w:hAnsi="Cambria"/>
        </w:rPr>
        <w:t xml:space="preserve"> 10 días desde que el acto es dictado.</w:t>
      </w:r>
    </w:p>
    <w:p w14:paraId="74834DD9" w14:textId="77777777" w:rsidR="00524E58" w:rsidRPr="009D5D62" w:rsidRDefault="00524E58" w:rsidP="009D5D62">
      <w:pPr>
        <w:numPr>
          <w:ilvl w:val="0"/>
          <w:numId w:val="4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Contenido:</w:t>
      </w:r>
      <w:r w:rsidRPr="009D5D62">
        <w:rPr>
          <w:rFonts w:ascii="Cambria" w:hAnsi="Cambria"/>
        </w:rPr>
        <w:t xml:space="preserve"> Texto íntegro, indicación de si agota la vía administrativa, recursos procedentes, órgano y plazo.</w:t>
      </w:r>
    </w:p>
    <w:p w14:paraId="6C4E6AA0" w14:textId="77777777" w:rsidR="00524E58" w:rsidRPr="009D5D62" w:rsidRDefault="00524E58" w:rsidP="009D5D62">
      <w:pPr>
        <w:numPr>
          <w:ilvl w:val="0"/>
          <w:numId w:val="4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Práctica:</w:t>
      </w:r>
      <w:r w:rsidRPr="009D5D62">
        <w:rPr>
          <w:rFonts w:ascii="Cambria" w:hAnsi="Cambria"/>
        </w:rPr>
        <w:t xml:space="preserve"> Preferentemente electrónica. En papel se requiere segundo intento en hora distinta dentro de los 3 días siguientes si el </w:t>
      </w:r>
      <w:proofErr w:type="gramStart"/>
      <w:r w:rsidRPr="009D5D62">
        <w:rPr>
          <w:rFonts w:ascii="Cambria" w:hAnsi="Cambria"/>
        </w:rPr>
        <w:t>primero falla</w:t>
      </w:r>
      <w:proofErr w:type="gramEnd"/>
      <w:r w:rsidRPr="009D5D62">
        <w:rPr>
          <w:rFonts w:ascii="Cambria" w:hAnsi="Cambria"/>
        </w:rPr>
        <w:t>.</w:t>
      </w:r>
    </w:p>
    <w:p w14:paraId="4F6FBB3A" w14:textId="77777777" w:rsidR="009D5D62" w:rsidRDefault="00524E58" w:rsidP="009D5D62">
      <w:pPr>
        <w:numPr>
          <w:ilvl w:val="0"/>
          <w:numId w:val="4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lastRenderedPageBreak/>
        <w:t>Notificación infructuosa:</w:t>
      </w:r>
      <w:r w:rsidRPr="009D5D62">
        <w:rPr>
          <w:rFonts w:ascii="Cambria" w:hAnsi="Cambria"/>
        </w:rPr>
        <w:t xml:space="preserve"> Publicación en el BOE. </w:t>
      </w:r>
    </w:p>
    <w:p w14:paraId="46A07347" w14:textId="77777777" w:rsidR="009D5D62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4.3. Publicación (Art. 45)</w:t>
      </w:r>
    </w:p>
    <w:p w14:paraId="175D7271" w14:textId="6B26B2A6" w:rsidR="00524E58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>Sustituye a la notificación en destinatarios indeterminados o procedimientos selectivos/concurrencia competitiva.</w:t>
      </w:r>
    </w:p>
    <w:p w14:paraId="76FC0555" w14:textId="77777777" w:rsidR="00524E58" w:rsidRPr="009D5D62" w:rsidRDefault="00524E58" w:rsidP="009D5D6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D5D62">
        <w:rPr>
          <w:rFonts w:ascii="Cambria" w:hAnsi="Cambria"/>
          <w:b/>
          <w:bCs/>
          <w:color w:val="auto"/>
          <w:sz w:val="28"/>
          <w:szCs w:val="28"/>
        </w:rPr>
        <w:t>5. EFICACIA Y VALIDEZ</w:t>
      </w:r>
    </w:p>
    <w:p w14:paraId="4BA816A2" w14:textId="77777777" w:rsidR="00524E58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5.1. Eficacia</w:t>
      </w:r>
    </w:p>
    <w:p w14:paraId="3D657521" w14:textId="3AB84E7E" w:rsidR="00524E58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>Los actos son ejecutivos y se presumen válidos desde que se dictan.</w:t>
      </w:r>
    </w:p>
    <w:p w14:paraId="784B5883" w14:textId="77777777" w:rsidR="00524E58" w:rsidRPr="009D5D62" w:rsidRDefault="00524E58" w:rsidP="009D5D62">
      <w:pPr>
        <w:numPr>
          <w:ilvl w:val="0"/>
          <w:numId w:val="5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Autotutela:</w:t>
      </w:r>
      <w:r w:rsidRPr="009D5D62">
        <w:rPr>
          <w:rFonts w:ascii="Cambria" w:hAnsi="Cambria"/>
        </w:rPr>
        <w:t xml:space="preserve"> Declarativa (presunción de validez) y Ejecutiva (uso de coacción sin tribunales).</w:t>
      </w:r>
    </w:p>
    <w:p w14:paraId="2702D3F6" w14:textId="77777777" w:rsidR="009D5D62" w:rsidRDefault="00524E58" w:rsidP="009D5D62">
      <w:pPr>
        <w:numPr>
          <w:ilvl w:val="0"/>
          <w:numId w:val="5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Inderogabilidad singular:</w:t>
      </w:r>
      <w:r w:rsidRPr="009D5D62">
        <w:rPr>
          <w:rFonts w:ascii="Cambria" w:hAnsi="Cambria"/>
        </w:rPr>
        <w:t xml:space="preserve"> Resoluciones particulares no pueden vulnerar disposiciones generales. </w:t>
      </w:r>
    </w:p>
    <w:p w14:paraId="7B9660E5" w14:textId="53103956" w:rsidR="009D5D62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 xml:space="preserve">5.2. Nulidad de Pleno Derecho (Art. 47) </w:t>
      </w:r>
    </w:p>
    <w:p w14:paraId="7E47ABB6" w14:textId="369E8D10" w:rsid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Sanción absoluta e insubsanable. Causas: lesión de derechos fundamentales, incompetencia manifiesta, contenido imposible, infracción penal u omisión total de procedimiento. </w:t>
      </w:r>
    </w:p>
    <w:p w14:paraId="16F93418" w14:textId="68D2E18A" w:rsidR="009D5D62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5.3. Anulabilidad (Art. 48)</w:t>
      </w:r>
    </w:p>
    <w:p w14:paraId="7D8F9E82" w14:textId="1E9360E7" w:rsidR="00524E58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>Sanción general para infracciones del Ordenamiento o desviación de poder. Es convalidable y sanable por el tiempo.</w:t>
      </w:r>
    </w:p>
    <w:p w14:paraId="09C0EA6D" w14:textId="77777777" w:rsidR="00524E58" w:rsidRPr="009D5D62" w:rsidRDefault="00524E58" w:rsidP="009D5D6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9D5D62">
        <w:rPr>
          <w:rFonts w:ascii="Cambria" w:hAnsi="Cambria"/>
          <w:b/>
          <w:bCs/>
          <w:color w:val="auto"/>
          <w:sz w:val="28"/>
          <w:szCs w:val="28"/>
        </w:rPr>
        <w:t>6. REVISIÓN Y EXTINCIÓN</w:t>
      </w:r>
    </w:p>
    <w:p w14:paraId="678A9144" w14:textId="29EB7218" w:rsidR="00524E58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6.1. Revisión de Oficio (Art. 106)</w:t>
      </w:r>
    </w:p>
    <w:p w14:paraId="057958F3" w14:textId="77777777" w:rsid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Para actos nulos de pleno derecho. Requiere dictamen favorable del Consejo de Estado. </w:t>
      </w:r>
    </w:p>
    <w:p w14:paraId="13E93816" w14:textId="77777777" w:rsidR="009D5D62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6.2. Declaración de Lesividad (Art. 107)</w:t>
      </w:r>
    </w:p>
    <w:p w14:paraId="4E76B6D7" w14:textId="74203DA1" w:rsid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Para impugnar actos anulables favorables (límite 4 años). </w:t>
      </w:r>
    </w:p>
    <w:p w14:paraId="48EDFB30" w14:textId="1B5607D2" w:rsidR="00524E58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6.3. Recursos Administrativos:</w:t>
      </w:r>
    </w:p>
    <w:p w14:paraId="6CCA44FD" w14:textId="77777777" w:rsidR="00524E58" w:rsidRPr="009D5D62" w:rsidRDefault="00524E58" w:rsidP="009D5D62">
      <w:pPr>
        <w:numPr>
          <w:ilvl w:val="0"/>
          <w:numId w:val="6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Alzada:</w:t>
      </w:r>
      <w:r w:rsidRPr="009D5D62">
        <w:rPr>
          <w:rFonts w:ascii="Cambria" w:hAnsi="Cambria"/>
        </w:rPr>
        <w:t xml:space="preserve"> Ante el superior (actos que no agotan la vía).</w:t>
      </w:r>
    </w:p>
    <w:p w14:paraId="26C594F9" w14:textId="77777777" w:rsidR="00524E58" w:rsidRPr="009D5D62" w:rsidRDefault="00524E58" w:rsidP="009D5D62">
      <w:pPr>
        <w:numPr>
          <w:ilvl w:val="0"/>
          <w:numId w:val="6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Reposición:</w:t>
      </w:r>
      <w:r w:rsidRPr="009D5D62">
        <w:rPr>
          <w:rFonts w:ascii="Cambria" w:hAnsi="Cambria"/>
        </w:rPr>
        <w:t xml:space="preserve"> Potestativo, ante el mismo órgano (actos que agotan la vía).</w:t>
      </w:r>
    </w:p>
    <w:p w14:paraId="53525A3C" w14:textId="77777777" w:rsidR="009D5D62" w:rsidRDefault="00524E58" w:rsidP="009D5D62">
      <w:pPr>
        <w:numPr>
          <w:ilvl w:val="0"/>
          <w:numId w:val="6"/>
        </w:numPr>
        <w:jc w:val="both"/>
        <w:rPr>
          <w:rFonts w:ascii="Cambria" w:hAnsi="Cambria"/>
        </w:rPr>
      </w:pPr>
      <w:r w:rsidRPr="009D5D62">
        <w:rPr>
          <w:rFonts w:ascii="Cambria" w:hAnsi="Cambria"/>
          <w:b/>
          <w:bCs/>
        </w:rPr>
        <w:t>Extraordinario de Revisión:</w:t>
      </w:r>
      <w:r w:rsidRPr="009D5D62">
        <w:rPr>
          <w:rFonts w:ascii="Cambria" w:hAnsi="Cambria"/>
        </w:rPr>
        <w:t xml:space="preserve"> Contra actos firmes por errores de hecho o documentos nuevos. </w:t>
      </w:r>
    </w:p>
    <w:p w14:paraId="6D2226A8" w14:textId="77777777" w:rsidR="009D5D62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lastRenderedPageBreak/>
        <w:t>6.4. Revocación y Rectificación</w:t>
      </w:r>
    </w:p>
    <w:p w14:paraId="619A08E3" w14:textId="77777777" w:rsid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 xml:space="preserve">Se pueden revocar actos de gravamen. Los errores materiales o aritméticos se pueden rectificar en cualquier momento. </w:t>
      </w:r>
    </w:p>
    <w:p w14:paraId="0F986A47" w14:textId="77777777" w:rsidR="009D5D62" w:rsidRPr="009D5D62" w:rsidRDefault="00524E58" w:rsidP="009D5D6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9D5D62">
        <w:rPr>
          <w:rFonts w:ascii="Cambria" w:hAnsi="Cambria"/>
          <w:b/>
          <w:bCs/>
          <w:color w:val="auto"/>
          <w:sz w:val="24"/>
          <w:szCs w:val="24"/>
        </w:rPr>
        <w:t>6.5. Ejecución Forzosa (Art. 100)</w:t>
      </w:r>
    </w:p>
    <w:p w14:paraId="04F0E010" w14:textId="6DC09170" w:rsidR="00524E58" w:rsidRPr="009D5D62" w:rsidRDefault="00524E58" w:rsidP="009D5D62">
      <w:pPr>
        <w:jc w:val="both"/>
        <w:rPr>
          <w:rFonts w:ascii="Cambria" w:hAnsi="Cambria"/>
        </w:rPr>
      </w:pPr>
      <w:r w:rsidRPr="009D5D62">
        <w:rPr>
          <w:rFonts w:ascii="Cambria" w:hAnsi="Cambria"/>
        </w:rPr>
        <w:t>Medios: Apremio sobre el patrimonio, ejecución subsidiaria, multas coercitivas y compulsión sobre las personas.</w:t>
      </w:r>
    </w:p>
    <w:p w14:paraId="0B055F79" w14:textId="77777777" w:rsidR="00A65383" w:rsidRPr="009D5D62" w:rsidRDefault="00A65383" w:rsidP="009D5D62">
      <w:pPr>
        <w:jc w:val="both"/>
        <w:rPr>
          <w:rFonts w:ascii="Cambria" w:hAnsi="Cambria"/>
        </w:rPr>
      </w:pPr>
    </w:p>
    <w:sectPr w:rsidR="00A65383" w:rsidRPr="009D5D6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E9B29" w14:textId="77777777" w:rsidR="00524E58" w:rsidRDefault="00524E58" w:rsidP="00524E58">
      <w:pPr>
        <w:spacing w:after="0" w:line="240" w:lineRule="auto"/>
      </w:pPr>
      <w:r>
        <w:separator/>
      </w:r>
    </w:p>
  </w:endnote>
  <w:endnote w:type="continuationSeparator" w:id="0">
    <w:p w14:paraId="7D674E7B" w14:textId="77777777" w:rsidR="00524E58" w:rsidRDefault="00524E58" w:rsidP="00524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1BC6B" w14:textId="77777777" w:rsidR="00524E58" w:rsidRDefault="00524E58" w:rsidP="00524E58">
      <w:pPr>
        <w:spacing w:after="0" w:line="240" w:lineRule="auto"/>
      </w:pPr>
      <w:r>
        <w:separator/>
      </w:r>
    </w:p>
  </w:footnote>
  <w:footnote w:type="continuationSeparator" w:id="0">
    <w:p w14:paraId="7AEB319D" w14:textId="77777777" w:rsidR="00524E58" w:rsidRDefault="00524E58" w:rsidP="00524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DFF9D" w14:textId="1E8EC182" w:rsidR="00524E58" w:rsidRPr="00524E58" w:rsidRDefault="00524E58" w:rsidP="00524E58">
    <w:pPr>
      <w:pStyle w:val="Encabezado"/>
      <w:jc w:val="both"/>
      <w:rPr>
        <w:rFonts w:ascii="Palatino Linotype" w:hAnsi="Palatino Linotype"/>
        <w:i/>
        <w:iCs/>
      </w:rPr>
    </w:pPr>
    <w:r w:rsidRPr="00524E58">
      <w:rPr>
        <w:rFonts w:ascii="Palatino Linotype" w:hAnsi="Palatino Linotype"/>
        <w:b/>
        <w:bCs/>
        <w:i/>
        <w:iCs/>
      </w:rPr>
      <w:t>TEMA 31 -</w:t>
    </w:r>
    <w:r w:rsidRPr="00524E58">
      <w:rPr>
        <w:rFonts w:ascii="Palatino Linotype" w:hAnsi="Palatino Linotype"/>
        <w:i/>
        <w:iCs/>
      </w:rPr>
      <w:t xml:space="preserve"> El acto administrativo: concepto, clases y elementos. Su motivación y notificación. Eficacia y validez de los actos administrativos. Revisión, anulación y revocación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3C3"/>
    <w:multiLevelType w:val="multilevel"/>
    <w:tmpl w:val="9838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72860"/>
    <w:multiLevelType w:val="multilevel"/>
    <w:tmpl w:val="43F6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91320"/>
    <w:multiLevelType w:val="multilevel"/>
    <w:tmpl w:val="D086386A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30" w:hanging="53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4CA341E5"/>
    <w:multiLevelType w:val="multilevel"/>
    <w:tmpl w:val="415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524DD"/>
    <w:multiLevelType w:val="multilevel"/>
    <w:tmpl w:val="BDCE1498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90" w:hanging="53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5" w15:restartNumberingAfterBreak="0">
    <w:nsid w:val="5BDF4173"/>
    <w:multiLevelType w:val="multilevel"/>
    <w:tmpl w:val="422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636E6"/>
    <w:multiLevelType w:val="multilevel"/>
    <w:tmpl w:val="9C6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01C2A"/>
    <w:multiLevelType w:val="multilevel"/>
    <w:tmpl w:val="396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409921">
    <w:abstractNumId w:val="5"/>
  </w:num>
  <w:num w:numId="2" w16cid:durableId="1652753260">
    <w:abstractNumId w:val="0"/>
  </w:num>
  <w:num w:numId="3" w16cid:durableId="605310748">
    <w:abstractNumId w:val="7"/>
  </w:num>
  <w:num w:numId="4" w16cid:durableId="1781754028">
    <w:abstractNumId w:val="1"/>
  </w:num>
  <w:num w:numId="5" w16cid:durableId="443767405">
    <w:abstractNumId w:val="3"/>
  </w:num>
  <w:num w:numId="6" w16cid:durableId="516967446">
    <w:abstractNumId w:val="6"/>
  </w:num>
  <w:num w:numId="7" w16cid:durableId="781261312">
    <w:abstractNumId w:val="4"/>
  </w:num>
  <w:num w:numId="8" w16cid:durableId="1432042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58"/>
    <w:rsid w:val="0033476F"/>
    <w:rsid w:val="00524E58"/>
    <w:rsid w:val="005803BC"/>
    <w:rsid w:val="009D5D62"/>
    <w:rsid w:val="00A65383"/>
    <w:rsid w:val="00A8675C"/>
    <w:rsid w:val="00C12CFD"/>
    <w:rsid w:val="00D549E9"/>
    <w:rsid w:val="00F5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E39F3"/>
  <w15:chartTrackingRefBased/>
  <w15:docId w15:val="{1F5A467E-4E2B-41D1-8C3A-7AE0FE1D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4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24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4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4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E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E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E5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24E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E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E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4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4E58"/>
  </w:style>
  <w:style w:type="paragraph" w:styleId="Piedepgina">
    <w:name w:val="footer"/>
    <w:basedOn w:val="Normal"/>
    <w:link w:val="PiedepginaCar"/>
    <w:uiPriority w:val="99"/>
    <w:unhideWhenUsed/>
    <w:rsid w:val="00524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4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728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2026-01-04T20:28:00Z</dcterms:created>
  <dcterms:modified xsi:type="dcterms:W3CDTF">2026-01-15T14:59:00Z</dcterms:modified>
</cp:coreProperties>
</file>