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D70E" w14:textId="77777777" w:rsidR="00CF7E3F" w:rsidRPr="000F7F13" w:rsidRDefault="00CF7E3F" w:rsidP="00CF7E3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F7F13">
        <w:rPr>
          <w:rFonts w:ascii="Cambria" w:hAnsi="Cambria"/>
          <w:b/>
          <w:bCs/>
          <w:color w:val="auto"/>
          <w:sz w:val="28"/>
          <w:szCs w:val="28"/>
        </w:rPr>
        <w:t>1. INTRODUCCIÓN Y MARCO LEGAL</w:t>
      </w:r>
    </w:p>
    <w:p w14:paraId="1A84F61A" w14:textId="50B18F6D" w:rsidR="00CF7E3F" w:rsidRPr="000F7F13" w:rsidRDefault="00CF7E3F" w:rsidP="000F7F13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Normativa de aplicación:</w:t>
      </w:r>
      <w:r w:rsidRPr="000F7F13">
        <w:rPr>
          <w:rFonts w:ascii="Cambria" w:hAnsi="Cambria"/>
        </w:rPr>
        <w:t xml:space="preserve"> Se rige por la Ley 29/1998 (LJCA), con las modificaciones de la Ley Orgánica 7/2015.</w:t>
      </w:r>
    </w:p>
    <w:p w14:paraId="79E1F7E4" w14:textId="276D9F2F" w:rsidR="00CF7E3F" w:rsidRPr="000F7F13" w:rsidRDefault="00CF7E3F" w:rsidP="000F7F13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Concepto de Administración:</w:t>
      </w:r>
      <w:r w:rsidRPr="000F7F13">
        <w:rPr>
          <w:rFonts w:ascii="Cambria" w:hAnsi="Cambria"/>
        </w:rPr>
        <w:t xml:space="preserve"> A efectos de esta jurisdicción, se incluyen la AGE, CCAA, Entidades Locales y Entidades de Derecho Público vinculadas.</w:t>
      </w:r>
    </w:p>
    <w:p w14:paraId="6CEFEBB9" w14:textId="1AA826C1" w:rsidR="00CF7E3F" w:rsidRPr="000F7F13" w:rsidRDefault="00CF7E3F" w:rsidP="000F7F13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Objeto principal:</w:t>
      </w:r>
      <w:r w:rsidRPr="000F7F13">
        <w:rPr>
          <w:rFonts w:ascii="Cambria" w:hAnsi="Cambria"/>
        </w:rPr>
        <w:t xml:space="preserve"> Controlar la legalidad de la actividad administrativa y el sometimiento de esta a los fines que la justifican.</w:t>
      </w:r>
    </w:p>
    <w:p w14:paraId="4B3308D3" w14:textId="77777777" w:rsidR="00CF7E3F" w:rsidRPr="000F7F13" w:rsidRDefault="00CF7E3F" w:rsidP="00CF7E3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F7F13">
        <w:rPr>
          <w:rFonts w:ascii="Cambria" w:hAnsi="Cambria"/>
          <w:b/>
          <w:bCs/>
          <w:color w:val="auto"/>
          <w:sz w:val="28"/>
          <w:szCs w:val="28"/>
        </w:rPr>
        <w:t>2. NATURALEZA Y EXTENSIÓN</w:t>
      </w:r>
    </w:p>
    <w:p w14:paraId="7FE660CA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2.1 Naturaleza:</w:t>
      </w:r>
      <w:r w:rsidRPr="000F7F13">
        <w:rPr>
          <w:rFonts w:ascii="Cambria" w:hAnsi="Cambria"/>
        </w:rPr>
        <w:t xml:space="preserve"> Es una jurisdicción ordinaria (ejercida por Jueces y Magistrados) y especializada (por la materia).</w:t>
      </w:r>
    </w:p>
    <w:p w14:paraId="441C12EE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2.2 Ámbito de control:</w:t>
      </w:r>
    </w:p>
    <w:p w14:paraId="040EFD85" w14:textId="2093DEBB" w:rsidR="00CF7E3F" w:rsidRPr="000F7F13" w:rsidRDefault="00CF7E3F" w:rsidP="000F7F13">
      <w:pPr>
        <w:pStyle w:val="Prrafodelista"/>
        <w:numPr>
          <w:ilvl w:val="0"/>
          <w:numId w:val="21"/>
        </w:numPr>
        <w:jc w:val="both"/>
        <w:rPr>
          <w:rFonts w:ascii="Cambria" w:hAnsi="Cambria"/>
        </w:rPr>
      </w:pPr>
      <w:r w:rsidRPr="000F7F13">
        <w:rPr>
          <w:rFonts w:ascii="Cambria" w:hAnsi="Cambria"/>
        </w:rPr>
        <w:t>Disposiciones de rango inferior a la Ley (Reglamentos).</w:t>
      </w:r>
    </w:p>
    <w:p w14:paraId="4E208E9D" w14:textId="0F49961A" w:rsidR="00CF7E3F" w:rsidRPr="000F7F13" w:rsidRDefault="00CF7E3F" w:rsidP="000F7F13">
      <w:pPr>
        <w:pStyle w:val="Prrafodelista"/>
        <w:numPr>
          <w:ilvl w:val="0"/>
          <w:numId w:val="21"/>
        </w:numPr>
        <w:jc w:val="both"/>
        <w:rPr>
          <w:rFonts w:ascii="Cambria" w:hAnsi="Cambria"/>
        </w:rPr>
      </w:pPr>
      <w:r w:rsidRPr="000F7F13">
        <w:rPr>
          <w:rFonts w:ascii="Cambria" w:hAnsi="Cambria"/>
        </w:rPr>
        <w:t>Actos administrativos expresos y presuntos.</w:t>
      </w:r>
    </w:p>
    <w:p w14:paraId="520BF8D2" w14:textId="1561E3BE" w:rsidR="00CF7E3F" w:rsidRPr="000F7F13" w:rsidRDefault="00CF7E3F" w:rsidP="000F7F13">
      <w:pPr>
        <w:pStyle w:val="Prrafodelista"/>
        <w:numPr>
          <w:ilvl w:val="0"/>
          <w:numId w:val="21"/>
        </w:numPr>
        <w:jc w:val="both"/>
        <w:rPr>
          <w:rFonts w:ascii="Cambria" w:hAnsi="Cambria"/>
        </w:rPr>
      </w:pPr>
      <w:r w:rsidRPr="000F7F13">
        <w:rPr>
          <w:rFonts w:ascii="Cambria" w:hAnsi="Cambria"/>
        </w:rPr>
        <w:t>Inactividad de la Administración y vías de hecho.</w:t>
      </w:r>
    </w:p>
    <w:p w14:paraId="30557DB0" w14:textId="1589D90C" w:rsidR="00CF7E3F" w:rsidRPr="000F7F13" w:rsidRDefault="00CF7E3F" w:rsidP="000F7F13">
      <w:pPr>
        <w:pStyle w:val="Prrafodelista"/>
        <w:numPr>
          <w:ilvl w:val="0"/>
          <w:numId w:val="21"/>
        </w:numPr>
        <w:jc w:val="both"/>
        <w:rPr>
          <w:rFonts w:ascii="Cambria" w:hAnsi="Cambria"/>
        </w:rPr>
      </w:pPr>
      <w:r w:rsidRPr="000F7F13">
        <w:rPr>
          <w:rFonts w:ascii="Cambria" w:hAnsi="Cambria"/>
        </w:rPr>
        <w:t>Contratos administrativos y actos de gestión de entes públicos.</w:t>
      </w:r>
    </w:p>
    <w:p w14:paraId="5AC383E8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2.3 Materias excluidas:</w:t>
      </w:r>
    </w:p>
    <w:p w14:paraId="19A83340" w14:textId="37F47A6C" w:rsidR="00CF7E3F" w:rsidRPr="000F7F13" w:rsidRDefault="00CF7E3F" w:rsidP="000F7F13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0F7F13">
        <w:rPr>
          <w:rFonts w:ascii="Cambria" w:hAnsi="Cambria"/>
        </w:rPr>
        <w:t>Cuestiones civiles, penales o sociales, aunque estén relacionadas con actos administrativos.</w:t>
      </w:r>
    </w:p>
    <w:p w14:paraId="64C2DB2A" w14:textId="1E34052A" w:rsidR="00CF7E3F" w:rsidRPr="000F7F13" w:rsidRDefault="00CF7E3F" w:rsidP="000F7F13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0F7F13">
        <w:rPr>
          <w:rFonts w:ascii="Cambria" w:hAnsi="Cambria"/>
        </w:rPr>
        <w:t>El recurso contencioso-disciplinario militar.</w:t>
      </w:r>
    </w:p>
    <w:p w14:paraId="225ECDF3" w14:textId="3BDF7EDF" w:rsidR="00CF7E3F" w:rsidRPr="000F7F13" w:rsidRDefault="00CF7E3F" w:rsidP="000F7F13">
      <w:pPr>
        <w:pStyle w:val="Prrafodelista"/>
        <w:numPr>
          <w:ilvl w:val="0"/>
          <w:numId w:val="20"/>
        </w:numPr>
        <w:jc w:val="both"/>
        <w:rPr>
          <w:rFonts w:ascii="Cambria" w:hAnsi="Cambria"/>
        </w:rPr>
      </w:pPr>
      <w:r w:rsidRPr="000F7F13">
        <w:rPr>
          <w:rFonts w:ascii="Cambria" w:hAnsi="Cambria"/>
        </w:rPr>
        <w:t>Conflictos de jurisdicción y cuestiones atribuidas al Tribunal Constitucional.</w:t>
      </w:r>
    </w:p>
    <w:p w14:paraId="2A0FA823" w14:textId="77777777" w:rsidR="00CF7E3F" w:rsidRPr="000F7F13" w:rsidRDefault="00CF7E3F" w:rsidP="00CF7E3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F7F13">
        <w:rPr>
          <w:rFonts w:ascii="Cambria" w:hAnsi="Cambria"/>
          <w:b/>
          <w:bCs/>
          <w:color w:val="auto"/>
          <w:sz w:val="28"/>
          <w:szCs w:val="28"/>
        </w:rPr>
        <w:t>3. ÓRGANOS JURISDICCIONALES Y COMPETENCIAS</w:t>
      </w:r>
    </w:p>
    <w:p w14:paraId="35B21DC8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3.1 Juzgados de lo Contencioso-Administrativo:</w:t>
      </w:r>
      <w:r w:rsidRPr="000F7F13">
        <w:rPr>
          <w:rFonts w:ascii="Cambria" w:hAnsi="Cambria"/>
        </w:rPr>
        <w:t xml:space="preserve"> Órganos unipersonales con competencia provincial (actos de Entidades Locales y algunos de CCAA).</w:t>
      </w:r>
    </w:p>
    <w:p w14:paraId="0D2D5E0C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3.2 Juzgados Centrales de lo Contencioso-Administrativo:</w:t>
      </w:r>
      <w:r w:rsidRPr="000F7F13">
        <w:rPr>
          <w:rFonts w:ascii="Cambria" w:hAnsi="Cambria"/>
        </w:rPr>
        <w:t xml:space="preserve"> Ámbito nacional (actos de órganos centrales de la AGE).</w:t>
      </w:r>
    </w:p>
    <w:p w14:paraId="207DA46A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3.3 Salas de lo Contencioso-Administrativo de los TSJ:</w:t>
      </w:r>
      <w:r w:rsidRPr="000F7F13">
        <w:rPr>
          <w:rFonts w:ascii="Cambria" w:hAnsi="Cambria"/>
        </w:rPr>
        <w:t xml:space="preserve"> Competencia autonómica y segunda instancia de los Juzgados provinciales.</w:t>
      </w:r>
    </w:p>
    <w:p w14:paraId="0F1936E0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3.4 Sala de lo Contencioso-Administrativo de la Audiencia Nacional:</w:t>
      </w:r>
      <w:r w:rsidRPr="000F7F13">
        <w:rPr>
          <w:rFonts w:ascii="Cambria" w:hAnsi="Cambria"/>
        </w:rPr>
        <w:t xml:space="preserve"> Actos de </w:t>
      </w:r>
      <w:proofErr w:type="gramStart"/>
      <w:r w:rsidRPr="000F7F13">
        <w:rPr>
          <w:rFonts w:ascii="Cambria" w:hAnsi="Cambria"/>
        </w:rPr>
        <w:t>Ministros</w:t>
      </w:r>
      <w:proofErr w:type="gramEnd"/>
      <w:r w:rsidRPr="000F7F13">
        <w:rPr>
          <w:rFonts w:ascii="Cambria" w:hAnsi="Cambria"/>
        </w:rPr>
        <w:t xml:space="preserve"> y </w:t>
      </w:r>
      <w:proofErr w:type="gramStart"/>
      <w:r w:rsidRPr="000F7F13">
        <w:rPr>
          <w:rFonts w:ascii="Cambria" w:hAnsi="Cambria"/>
        </w:rPr>
        <w:t>Secretarios</w:t>
      </w:r>
      <w:proofErr w:type="gramEnd"/>
      <w:r w:rsidRPr="000F7F13">
        <w:rPr>
          <w:rFonts w:ascii="Cambria" w:hAnsi="Cambria"/>
        </w:rPr>
        <w:t xml:space="preserve"> de Estado.</w:t>
      </w:r>
    </w:p>
    <w:p w14:paraId="555AE3F9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3.5 Sala Tercera del Tribunal Supremo:</w:t>
      </w:r>
      <w:r w:rsidRPr="000F7F13">
        <w:rPr>
          <w:rFonts w:ascii="Cambria" w:hAnsi="Cambria"/>
        </w:rPr>
        <w:t xml:space="preserve"> Órgano superior para actos del Consejo de </w:t>
      </w:r>
      <w:proofErr w:type="gramStart"/>
      <w:r w:rsidRPr="000F7F13">
        <w:rPr>
          <w:rFonts w:ascii="Cambria" w:hAnsi="Cambria"/>
        </w:rPr>
        <w:t>Ministros</w:t>
      </w:r>
      <w:proofErr w:type="gramEnd"/>
      <w:r w:rsidRPr="000F7F13">
        <w:rPr>
          <w:rFonts w:ascii="Cambria" w:hAnsi="Cambria"/>
        </w:rPr>
        <w:t xml:space="preserve"> y recursos de casación.</w:t>
      </w:r>
    </w:p>
    <w:p w14:paraId="1AE8B4EE" w14:textId="77777777" w:rsidR="00CF7E3F" w:rsidRPr="000F7F13" w:rsidRDefault="00CF7E3F" w:rsidP="00CF7E3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F7F13">
        <w:rPr>
          <w:rFonts w:ascii="Cambria" w:hAnsi="Cambria"/>
          <w:b/>
          <w:bCs/>
          <w:color w:val="auto"/>
          <w:sz w:val="28"/>
          <w:szCs w:val="28"/>
        </w:rPr>
        <w:lastRenderedPageBreak/>
        <w:t>4. LAS PARTES EN EL PROCESO</w:t>
      </w:r>
    </w:p>
    <w:p w14:paraId="6C71D065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4.1 Capacidad procesal:</w:t>
      </w:r>
      <w:r w:rsidRPr="000F7F13">
        <w:rPr>
          <w:rFonts w:ascii="Cambria" w:hAnsi="Cambria"/>
        </w:rPr>
        <w:t xml:space="preserve"> Tienen capacidad quienes estén en el pleno ejercicio de sus derechos civiles y los grupos de afectados (uniones sin personalidad).</w:t>
      </w:r>
    </w:p>
    <w:p w14:paraId="6554ACE6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4.2 Legitimación:</w:t>
      </w:r>
    </w:p>
    <w:p w14:paraId="7C79D748" w14:textId="791C38D9" w:rsidR="00CF7E3F" w:rsidRPr="000F7F13" w:rsidRDefault="00CF7E3F" w:rsidP="000F7F13">
      <w:pPr>
        <w:pStyle w:val="Prrafodelista"/>
        <w:numPr>
          <w:ilvl w:val="0"/>
          <w:numId w:val="19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Activa:</w:t>
      </w:r>
      <w:r w:rsidRPr="000F7F13">
        <w:rPr>
          <w:rFonts w:ascii="Cambria" w:hAnsi="Cambria"/>
        </w:rPr>
        <w:t xml:space="preserve"> Personas con un derecho o interés legítimo.</w:t>
      </w:r>
    </w:p>
    <w:p w14:paraId="6944DC4A" w14:textId="40E70EC6" w:rsidR="00CF7E3F" w:rsidRPr="000F7F13" w:rsidRDefault="00CF7E3F" w:rsidP="000F7F13">
      <w:pPr>
        <w:pStyle w:val="Prrafodelista"/>
        <w:numPr>
          <w:ilvl w:val="0"/>
          <w:numId w:val="19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Pasiva:</w:t>
      </w:r>
      <w:r w:rsidRPr="000F7F13">
        <w:rPr>
          <w:rFonts w:ascii="Cambria" w:hAnsi="Cambria"/>
        </w:rPr>
        <w:t xml:space="preserve"> La Administración autora del acto y las personas interesadas en su mantenimiento (codemandados).</w:t>
      </w:r>
    </w:p>
    <w:p w14:paraId="11C3FBE5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4.3 Postulación:</w:t>
      </w:r>
      <w:r w:rsidRPr="000F7F13">
        <w:rPr>
          <w:rFonts w:ascii="Cambria" w:hAnsi="Cambria"/>
        </w:rPr>
        <w:t xml:space="preserve"> Es obligatoria la intervención de Abogado. El Procurador es obligatorio ante órganos colegiados (Salas) y potestativo ante órganos unipersonales (Juzgados).</w:t>
      </w:r>
    </w:p>
    <w:p w14:paraId="26A34115" w14:textId="77777777" w:rsidR="00CF7E3F" w:rsidRPr="000F7F13" w:rsidRDefault="00CF7E3F" w:rsidP="00CF7E3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F7F13">
        <w:rPr>
          <w:rFonts w:ascii="Cambria" w:hAnsi="Cambria"/>
          <w:b/>
          <w:bCs/>
          <w:color w:val="auto"/>
          <w:sz w:val="28"/>
          <w:szCs w:val="28"/>
        </w:rPr>
        <w:t>5. PROCEDIMIENTO ADMINISTRATIVO Y JUDICIAL</w:t>
      </w:r>
    </w:p>
    <w:p w14:paraId="600481A4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5.1 Requisitos previos:</w:t>
      </w:r>
      <w:r w:rsidRPr="000F7F13">
        <w:rPr>
          <w:rFonts w:ascii="Cambria" w:hAnsi="Cambria"/>
        </w:rPr>
        <w:t xml:space="preserve"> Es indispensable haber agotado la vía administrativa antes de interponer el recurso.</w:t>
      </w:r>
    </w:p>
    <w:p w14:paraId="27EE6791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5.2 Plazos de interposición:</w:t>
      </w:r>
    </w:p>
    <w:p w14:paraId="0007EA3D" w14:textId="056D318E" w:rsidR="00CF7E3F" w:rsidRPr="000F7F13" w:rsidRDefault="00CF7E3F" w:rsidP="000F7F13">
      <w:pPr>
        <w:pStyle w:val="Prrafodelista"/>
        <w:numPr>
          <w:ilvl w:val="0"/>
          <w:numId w:val="18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Actos expresos:</w:t>
      </w:r>
      <w:r w:rsidRPr="000F7F13">
        <w:rPr>
          <w:rFonts w:ascii="Cambria" w:hAnsi="Cambria"/>
        </w:rPr>
        <w:t xml:space="preserve"> 2 meses desde la notificación.</w:t>
      </w:r>
    </w:p>
    <w:p w14:paraId="4AB1E15A" w14:textId="0311B28F" w:rsidR="00CF7E3F" w:rsidRPr="000F7F13" w:rsidRDefault="00CF7E3F" w:rsidP="000F7F13">
      <w:pPr>
        <w:pStyle w:val="Prrafodelista"/>
        <w:numPr>
          <w:ilvl w:val="0"/>
          <w:numId w:val="18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Silencio administrativo:</w:t>
      </w:r>
      <w:r w:rsidRPr="000F7F13">
        <w:rPr>
          <w:rFonts w:ascii="Cambria" w:hAnsi="Cambria"/>
        </w:rPr>
        <w:t xml:space="preserve"> 6 meses desde que se produzca el acto presunto.</w:t>
      </w:r>
    </w:p>
    <w:p w14:paraId="251F2692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5.3 Tramitación:</w:t>
      </w:r>
    </w:p>
    <w:p w14:paraId="37176D3B" w14:textId="338CB392" w:rsidR="00CF7E3F" w:rsidRPr="000F7F13" w:rsidRDefault="00CF7E3F" w:rsidP="000F7F13">
      <w:pPr>
        <w:pStyle w:val="Prrafodelista"/>
        <w:numPr>
          <w:ilvl w:val="0"/>
          <w:numId w:val="17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Expediente:</w:t>
      </w:r>
      <w:r w:rsidRPr="000F7F13">
        <w:rPr>
          <w:rFonts w:ascii="Cambria" w:hAnsi="Cambria"/>
        </w:rPr>
        <w:t xml:space="preserve"> La Administración debe enviarlo en 20 días.</w:t>
      </w:r>
    </w:p>
    <w:p w14:paraId="18C64122" w14:textId="3B52855C" w:rsidR="00CF7E3F" w:rsidRPr="000F7F13" w:rsidRDefault="00CF7E3F" w:rsidP="000F7F13">
      <w:pPr>
        <w:pStyle w:val="Prrafodelista"/>
        <w:numPr>
          <w:ilvl w:val="0"/>
          <w:numId w:val="17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Demanda y contestación:</w:t>
      </w:r>
      <w:r w:rsidRPr="000F7F13">
        <w:rPr>
          <w:rFonts w:ascii="Cambria" w:hAnsi="Cambria"/>
        </w:rPr>
        <w:t xml:space="preserve"> Plazo común de 20 días para cada parte.</w:t>
      </w:r>
    </w:p>
    <w:p w14:paraId="08BD80E2" w14:textId="6F4E6894" w:rsidR="00CF7E3F" w:rsidRPr="000F7F13" w:rsidRDefault="00CF7E3F" w:rsidP="000F7F13">
      <w:pPr>
        <w:pStyle w:val="Prrafodelista"/>
        <w:numPr>
          <w:ilvl w:val="0"/>
          <w:numId w:val="17"/>
        </w:num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Prueba y vista:</w:t>
      </w:r>
      <w:r w:rsidRPr="000F7F13">
        <w:rPr>
          <w:rFonts w:ascii="Cambria" w:hAnsi="Cambria"/>
        </w:rPr>
        <w:t xml:space="preserve"> Solo si hay disconformidad en los hechos; tras esto, el pleito queda visto para sentencia.</w:t>
      </w:r>
    </w:p>
    <w:p w14:paraId="6906152C" w14:textId="77777777" w:rsidR="00CF7E3F" w:rsidRPr="000F7F13" w:rsidRDefault="00CF7E3F" w:rsidP="00CF7E3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F7F13">
        <w:rPr>
          <w:rFonts w:ascii="Cambria" w:hAnsi="Cambria"/>
          <w:b/>
          <w:bCs/>
          <w:color w:val="auto"/>
          <w:sz w:val="28"/>
          <w:szCs w:val="28"/>
        </w:rPr>
        <w:t>6. LA SENTENCIA Y SU EJECUCIÓN</w:t>
      </w:r>
    </w:p>
    <w:p w14:paraId="2967263B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6.1 Contenido del fallo:</w:t>
      </w:r>
      <w:r w:rsidRPr="000F7F13">
        <w:rPr>
          <w:rFonts w:ascii="Cambria" w:hAnsi="Cambria"/>
        </w:rPr>
        <w:t xml:space="preserve"> Puede ser de inadmisibilidad, estimación (total o parcial) o desestimación.</w:t>
      </w:r>
    </w:p>
    <w:p w14:paraId="753278D3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6.2 Efectos de la estimación:</w:t>
      </w:r>
      <w:r w:rsidRPr="000F7F13">
        <w:rPr>
          <w:rFonts w:ascii="Cambria" w:hAnsi="Cambria"/>
        </w:rPr>
        <w:t xml:space="preserve"> Anulación del acto, reconocimiento de una situación jurídica individualizada e indemnización de daños si procede.</w:t>
      </w:r>
    </w:p>
    <w:p w14:paraId="2C523D3A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6.3 Ejecución:</w:t>
      </w:r>
      <w:r w:rsidRPr="000F7F13">
        <w:rPr>
          <w:rFonts w:ascii="Cambria" w:hAnsi="Cambria"/>
        </w:rPr>
        <w:t xml:space="preserve"> Corresponde al órgano que dictó el acto, bajo la supervisión del Juez, quien puede imponer multas coercitivas para asegurar el cumplimiento.</w:t>
      </w:r>
    </w:p>
    <w:p w14:paraId="6A03963C" w14:textId="77777777" w:rsidR="00CF7E3F" w:rsidRPr="000F7F13" w:rsidRDefault="00CF7E3F" w:rsidP="00CF7E3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0F7F13">
        <w:rPr>
          <w:rFonts w:ascii="Cambria" w:hAnsi="Cambria"/>
          <w:b/>
          <w:bCs/>
          <w:color w:val="auto"/>
          <w:sz w:val="28"/>
          <w:szCs w:val="28"/>
        </w:rPr>
        <w:t>7. RÉGIMEN DE RECURSOS</w:t>
      </w:r>
    </w:p>
    <w:p w14:paraId="26A77688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7.1 Apelación:</w:t>
      </w:r>
      <w:r w:rsidRPr="000F7F13">
        <w:rPr>
          <w:rFonts w:ascii="Cambria" w:hAnsi="Cambria"/>
        </w:rPr>
        <w:t xml:space="preserve"> Contra sentencias de los Juzgados ante el TSJ o Audiencia Nacional (según cuantía o materia).</w:t>
      </w:r>
    </w:p>
    <w:p w14:paraId="017B071E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lastRenderedPageBreak/>
        <w:t>7.2 Casación:</w:t>
      </w:r>
      <w:r w:rsidRPr="000F7F13">
        <w:rPr>
          <w:rFonts w:ascii="Cambria" w:hAnsi="Cambria"/>
        </w:rPr>
        <w:t xml:space="preserve"> Ante el Tribunal Supremo cuando exista "interés casacional objetivo" para fijar doctrina.</w:t>
      </w:r>
    </w:p>
    <w:p w14:paraId="67CCB6DA" w14:textId="77777777" w:rsidR="00CF7E3F" w:rsidRPr="000F7F13" w:rsidRDefault="00CF7E3F" w:rsidP="00CF7E3F">
      <w:pPr>
        <w:jc w:val="both"/>
        <w:rPr>
          <w:rFonts w:ascii="Cambria" w:hAnsi="Cambria"/>
        </w:rPr>
      </w:pPr>
      <w:r w:rsidRPr="000F7F13">
        <w:rPr>
          <w:rFonts w:ascii="Cambria" w:hAnsi="Cambria"/>
          <w:b/>
          <w:bCs/>
        </w:rPr>
        <w:t>7.3 Revisión:</w:t>
      </w:r>
      <w:r w:rsidRPr="000F7F13">
        <w:rPr>
          <w:rFonts w:ascii="Cambria" w:hAnsi="Cambria"/>
        </w:rPr>
        <w:t xml:space="preserve"> Recurso extraordinario contra sentencias firmes en casos muy específicos (documentos falsos, cohecho, etc.).</w:t>
      </w:r>
    </w:p>
    <w:p w14:paraId="4F0645A5" w14:textId="77777777" w:rsidR="00A65383" w:rsidRPr="000F7F13" w:rsidRDefault="00A65383" w:rsidP="00CF7E3F">
      <w:pPr>
        <w:jc w:val="both"/>
        <w:rPr>
          <w:rFonts w:ascii="Cambria" w:hAnsi="Cambria"/>
        </w:rPr>
      </w:pPr>
    </w:p>
    <w:sectPr w:rsidR="00A65383" w:rsidRPr="000F7F1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89BF1" w14:textId="77777777" w:rsidR="00CF7E3F" w:rsidRDefault="00CF7E3F" w:rsidP="00CF7E3F">
      <w:pPr>
        <w:spacing w:after="0" w:line="240" w:lineRule="auto"/>
      </w:pPr>
      <w:r>
        <w:separator/>
      </w:r>
    </w:p>
  </w:endnote>
  <w:endnote w:type="continuationSeparator" w:id="0">
    <w:p w14:paraId="1FD9C6BA" w14:textId="77777777" w:rsidR="00CF7E3F" w:rsidRDefault="00CF7E3F" w:rsidP="00CF7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F0E16" w14:textId="77777777" w:rsidR="00CF7E3F" w:rsidRDefault="00CF7E3F" w:rsidP="00CF7E3F">
      <w:pPr>
        <w:spacing w:after="0" w:line="240" w:lineRule="auto"/>
      </w:pPr>
      <w:r>
        <w:separator/>
      </w:r>
    </w:p>
  </w:footnote>
  <w:footnote w:type="continuationSeparator" w:id="0">
    <w:p w14:paraId="4E87584F" w14:textId="77777777" w:rsidR="00CF7E3F" w:rsidRDefault="00CF7E3F" w:rsidP="00CF7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0D8D" w14:textId="51B4C213" w:rsidR="00CF7E3F" w:rsidRPr="00CF7E3F" w:rsidRDefault="00CF7E3F">
    <w:pPr>
      <w:pStyle w:val="Encabezado"/>
      <w:rPr>
        <w:rFonts w:ascii="Palatino Linotype" w:hAnsi="Palatino Linotype"/>
        <w:i/>
        <w:iCs/>
      </w:rPr>
    </w:pPr>
    <w:r w:rsidRPr="00CF7E3F">
      <w:rPr>
        <w:rFonts w:ascii="Palatino Linotype" w:hAnsi="Palatino Linotype"/>
        <w:b/>
        <w:bCs/>
        <w:i/>
        <w:iCs/>
      </w:rPr>
      <w:t>TEMA 33 -</w:t>
    </w:r>
    <w:r w:rsidRPr="00CF7E3F">
      <w:rPr>
        <w:rFonts w:ascii="Palatino Linotype" w:hAnsi="Palatino Linotype"/>
        <w:i/>
        <w:iCs/>
      </w:rPr>
      <w:t xml:space="preserve"> La jurisdicción contencioso-administrativa. Extensión y límites. Las partes del procedimiento. La sentencia. Recursos.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C46"/>
    <w:multiLevelType w:val="multilevel"/>
    <w:tmpl w:val="382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AEA"/>
    <w:multiLevelType w:val="multilevel"/>
    <w:tmpl w:val="03E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4FBB"/>
    <w:multiLevelType w:val="multilevel"/>
    <w:tmpl w:val="1F7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7383"/>
    <w:multiLevelType w:val="multilevel"/>
    <w:tmpl w:val="5E0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454F0"/>
    <w:multiLevelType w:val="hybridMultilevel"/>
    <w:tmpl w:val="73588DB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88425C0"/>
    <w:multiLevelType w:val="hybridMultilevel"/>
    <w:tmpl w:val="C7246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367EA"/>
    <w:multiLevelType w:val="multilevel"/>
    <w:tmpl w:val="8D6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C4BE5"/>
    <w:multiLevelType w:val="multilevel"/>
    <w:tmpl w:val="851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14073"/>
    <w:multiLevelType w:val="multilevel"/>
    <w:tmpl w:val="87E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A039D"/>
    <w:multiLevelType w:val="hybridMultilevel"/>
    <w:tmpl w:val="ABC2C84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1280F9A"/>
    <w:multiLevelType w:val="multilevel"/>
    <w:tmpl w:val="797C1EB6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18A494A"/>
    <w:multiLevelType w:val="hybridMultilevel"/>
    <w:tmpl w:val="B382EFE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EF035EE"/>
    <w:multiLevelType w:val="multilevel"/>
    <w:tmpl w:val="5BA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92240"/>
    <w:multiLevelType w:val="multilevel"/>
    <w:tmpl w:val="2D5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8377D"/>
    <w:multiLevelType w:val="multilevel"/>
    <w:tmpl w:val="037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B22A4"/>
    <w:multiLevelType w:val="hybridMultilevel"/>
    <w:tmpl w:val="281C127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28B43E2"/>
    <w:multiLevelType w:val="multilevel"/>
    <w:tmpl w:val="FCE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C074A"/>
    <w:multiLevelType w:val="multilevel"/>
    <w:tmpl w:val="8D4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751A2"/>
    <w:multiLevelType w:val="hybridMultilevel"/>
    <w:tmpl w:val="0178D9B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1A9203D"/>
    <w:multiLevelType w:val="multilevel"/>
    <w:tmpl w:val="FE6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707CF"/>
    <w:multiLevelType w:val="multilevel"/>
    <w:tmpl w:val="7FC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08353">
    <w:abstractNumId w:val="14"/>
  </w:num>
  <w:num w:numId="2" w16cid:durableId="180246788">
    <w:abstractNumId w:val="3"/>
  </w:num>
  <w:num w:numId="3" w16cid:durableId="483744024">
    <w:abstractNumId w:val="13"/>
  </w:num>
  <w:num w:numId="4" w16cid:durableId="1672559106">
    <w:abstractNumId w:val="12"/>
  </w:num>
  <w:num w:numId="5" w16cid:durableId="1561139345">
    <w:abstractNumId w:val="7"/>
  </w:num>
  <w:num w:numId="6" w16cid:durableId="1117529166">
    <w:abstractNumId w:val="8"/>
  </w:num>
  <w:num w:numId="7" w16cid:durableId="1123383367">
    <w:abstractNumId w:val="1"/>
  </w:num>
  <w:num w:numId="8" w16cid:durableId="1057628268">
    <w:abstractNumId w:val="17"/>
  </w:num>
  <w:num w:numId="9" w16cid:durableId="1612472969">
    <w:abstractNumId w:val="2"/>
  </w:num>
  <w:num w:numId="10" w16cid:durableId="111099104">
    <w:abstractNumId w:val="20"/>
  </w:num>
  <w:num w:numId="11" w16cid:durableId="1061909484">
    <w:abstractNumId w:val="6"/>
  </w:num>
  <w:num w:numId="12" w16cid:durableId="480581836">
    <w:abstractNumId w:val="16"/>
  </w:num>
  <w:num w:numId="13" w16cid:durableId="888151481">
    <w:abstractNumId w:val="0"/>
  </w:num>
  <w:num w:numId="14" w16cid:durableId="1123620813">
    <w:abstractNumId w:val="19"/>
  </w:num>
  <w:num w:numId="15" w16cid:durableId="841747810">
    <w:abstractNumId w:val="5"/>
  </w:num>
  <w:num w:numId="16" w16cid:durableId="1287662016">
    <w:abstractNumId w:val="10"/>
  </w:num>
  <w:num w:numId="17" w16cid:durableId="923488342">
    <w:abstractNumId w:val="11"/>
  </w:num>
  <w:num w:numId="18" w16cid:durableId="1355035972">
    <w:abstractNumId w:val="9"/>
  </w:num>
  <w:num w:numId="19" w16cid:durableId="1492134716">
    <w:abstractNumId w:val="15"/>
  </w:num>
  <w:num w:numId="20" w16cid:durableId="1683166606">
    <w:abstractNumId w:val="4"/>
  </w:num>
  <w:num w:numId="21" w16cid:durableId="2719366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3F"/>
    <w:rsid w:val="000D2618"/>
    <w:rsid w:val="000F7F13"/>
    <w:rsid w:val="005803BC"/>
    <w:rsid w:val="00912D5E"/>
    <w:rsid w:val="00A65383"/>
    <w:rsid w:val="00A8675C"/>
    <w:rsid w:val="00C12CFD"/>
    <w:rsid w:val="00CF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469CA"/>
  <w15:chartTrackingRefBased/>
  <w15:docId w15:val="{FEC30EB2-57A4-4177-B836-509BB974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F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E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E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E3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F7E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E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E3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7E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7E3F"/>
  </w:style>
  <w:style w:type="paragraph" w:styleId="Piedepgina">
    <w:name w:val="footer"/>
    <w:basedOn w:val="Normal"/>
    <w:link w:val="PiedepginaCar"/>
    <w:uiPriority w:val="99"/>
    <w:unhideWhenUsed/>
    <w:rsid w:val="00CF7E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7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547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2026-01-04T20:58:00Z</dcterms:created>
  <dcterms:modified xsi:type="dcterms:W3CDTF">2026-01-15T14:55:00Z</dcterms:modified>
</cp:coreProperties>
</file>