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5EDE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1. Introducción y Conceptos Fundamentales</w:t>
      </w:r>
    </w:p>
    <w:p w14:paraId="42134EE7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1.1. Definición y Encuadre</w:t>
      </w:r>
    </w:p>
    <w:p w14:paraId="79C6CF41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Actividad Financiera del Sector Público:</w:t>
      </w:r>
      <w:r w:rsidRPr="008F30DD">
        <w:rPr>
          <w:rFonts w:ascii="Cambria" w:hAnsi="Cambria"/>
        </w:rPr>
        <w:t xml:space="preserve"> Conjunto de decisiones económicas sobre ingresos y gastos del Estado.</w:t>
      </w:r>
    </w:p>
    <w:p w14:paraId="5B09DA90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Política Fiscal:</w:t>
      </w:r>
      <w:r w:rsidRPr="008F30DD">
        <w:rPr>
          <w:rFonts w:ascii="Cambria" w:hAnsi="Cambria"/>
        </w:rPr>
        <w:t xml:space="preserve"> Actuación discrecional de las autoridades sobre programas de ingresos y gastos públicos para alcanzar objetivos macroeconómicos (producción, renta y empleo).</w:t>
      </w:r>
    </w:p>
    <w:p w14:paraId="24129A29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1.2. Funciones y Objetivos</w:t>
      </w:r>
    </w:p>
    <w:p w14:paraId="78B0D42F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Objetivos Finales:</w:t>
      </w:r>
    </w:p>
    <w:p w14:paraId="32C8FF3E" w14:textId="7CAF76AB" w:rsidR="008F30DD" w:rsidRPr="00C44691" w:rsidRDefault="008F30DD" w:rsidP="00C44691">
      <w:pPr>
        <w:pStyle w:val="Prrafodelista"/>
        <w:numPr>
          <w:ilvl w:val="0"/>
          <w:numId w:val="41"/>
        </w:numPr>
        <w:jc w:val="both"/>
        <w:rPr>
          <w:rFonts w:ascii="Cambria" w:hAnsi="Cambria"/>
        </w:rPr>
      </w:pPr>
      <w:r w:rsidRPr="00C44691">
        <w:rPr>
          <w:rFonts w:ascii="Cambria" w:hAnsi="Cambria"/>
        </w:rPr>
        <w:t>Plena ocupación (máximo empleo).</w:t>
      </w:r>
    </w:p>
    <w:p w14:paraId="63F4C437" w14:textId="27EAD65B" w:rsidR="008F30DD" w:rsidRPr="00C44691" w:rsidRDefault="008F30DD" w:rsidP="00C44691">
      <w:pPr>
        <w:pStyle w:val="Prrafodelista"/>
        <w:numPr>
          <w:ilvl w:val="0"/>
          <w:numId w:val="41"/>
        </w:numPr>
        <w:jc w:val="both"/>
        <w:rPr>
          <w:rFonts w:ascii="Cambria" w:hAnsi="Cambria"/>
        </w:rPr>
      </w:pPr>
      <w:r w:rsidRPr="00C44691">
        <w:rPr>
          <w:rFonts w:ascii="Cambria" w:hAnsi="Cambria"/>
        </w:rPr>
        <w:t>Control de la demanda agregada (vía impuestos y gasto).</w:t>
      </w:r>
    </w:p>
    <w:p w14:paraId="401851E4" w14:textId="4A241759" w:rsidR="008F30DD" w:rsidRPr="00C44691" w:rsidRDefault="008F30DD" w:rsidP="00C44691">
      <w:pPr>
        <w:pStyle w:val="Prrafodelista"/>
        <w:numPr>
          <w:ilvl w:val="0"/>
          <w:numId w:val="41"/>
        </w:numPr>
        <w:jc w:val="both"/>
        <w:rPr>
          <w:rFonts w:ascii="Cambria" w:hAnsi="Cambria"/>
        </w:rPr>
      </w:pPr>
      <w:r w:rsidRPr="00C44691">
        <w:rPr>
          <w:rFonts w:ascii="Cambria" w:hAnsi="Cambria"/>
        </w:rPr>
        <w:t>Control del saldo presupuestario (déficit o superávit).</w:t>
      </w:r>
    </w:p>
    <w:p w14:paraId="000A5E7D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Funciones Principales:</w:t>
      </w:r>
    </w:p>
    <w:p w14:paraId="28D79FE7" w14:textId="2C657027" w:rsidR="008F30DD" w:rsidRPr="00C44691" w:rsidRDefault="008F30DD" w:rsidP="00C44691">
      <w:pPr>
        <w:pStyle w:val="Prrafodelista"/>
        <w:numPr>
          <w:ilvl w:val="0"/>
          <w:numId w:val="39"/>
        </w:numPr>
        <w:jc w:val="both"/>
        <w:rPr>
          <w:rFonts w:ascii="Cambria" w:hAnsi="Cambria"/>
        </w:rPr>
      </w:pPr>
      <w:r w:rsidRPr="00C44691">
        <w:rPr>
          <w:rFonts w:ascii="Cambria" w:hAnsi="Cambria"/>
          <w:b/>
          <w:bCs/>
        </w:rPr>
        <w:t>Estabilización:</w:t>
      </w:r>
      <w:r w:rsidRPr="00C44691">
        <w:rPr>
          <w:rFonts w:ascii="Cambria" w:hAnsi="Cambria"/>
        </w:rPr>
        <w:t xml:space="preserve"> Junto con la política monetaria.</w:t>
      </w:r>
    </w:p>
    <w:p w14:paraId="731E2720" w14:textId="56F0BAE0" w:rsidR="008F30DD" w:rsidRPr="00C44691" w:rsidRDefault="008F30DD" w:rsidP="00C44691">
      <w:pPr>
        <w:pStyle w:val="Prrafodelista"/>
        <w:numPr>
          <w:ilvl w:val="0"/>
          <w:numId w:val="39"/>
        </w:numPr>
        <w:jc w:val="both"/>
        <w:rPr>
          <w:rFonts w:ascii="Cambria" w:hAnsi="Cambria"/>
        </w:rPr>
      </w:pPr>
      <w:r w:rsidRPr="00C44691">
        <w:rPr>
          <w:rFonts w:ascii="Cambria" w:hAnsi="Cambria"/>
          <w:b/>
          <w:bCs/>
        </w:rPr>
        <w:t>Asignación:</w:t>
      </w:r>
      <w:r w:rsidRPr="00C44691">
        <w:rPr>
          <w:rFonts w:ascii="Cambria" w:hAnsi="Cambria"/>
        </w:rPr>
        <w:t xml:space="preserve"> Provisión de bienes sociales/públicos.</w:t>
      </w:r>
    </w:p>
    <w:p w14:paraId="66CFE5AB" w14:textId="3D4DC465" w:rsidR="008F30DD" w:rsidRPr="00C44691" w:rsidRDefault="008F30DD" w:rsidP="00C44691">
      <w:pPr>
        <w:pStyle w:val="Prrafodelista"/>
        <w:numPr>
          <w:ilvl w:val="0"/>
          <w:numId w:val="39"/>
        </w:numPr>
        <w:jc w:val="both"/>
        <w:rPr>
          <w:rFonts w:ascii="Cambria" w:hAnsi="Cambria"/>
        </w:rPr>
      </w:pPr>
      <w:r w:rsidRPr="00C44691">
        <w:rPr>
          <w:rFonts w:ascii="Cambria" w:hAnsi="Cambria"/>
          <w:b/>
          <w:bCs/>
        </w:rPr>
        <w:t>Distribución:</w:t>
      </w:r>
      <w:r w:rsidRPr="00C44691">
        <w:rPr>
          <w:rFonts w:ascii="Cambria" w:hAnsi="Cambria"/>
        </w:rPr>
        <w:t xml:space="preserve"> Corregir desigualdades de renta.</w:t>
      </w:r>
    </w:p>
    <w:p w14:paraId="50AAB274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1.3. Instrumentos de la Política Fiscal</w:t>
      </w:r>
    </w:p>
    <w:p w14:paraId="3F8CE41B" w14:textId="412D61E0" w:rsidR="008F30DD" w:rsidRPr="008F30DD" w:rsidRDefault="008F30DD" w:rsidP="008F30DD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Gasto Público:</w:t>
      </w:r>
      <w:r w:rsidRPr="008F30DD">
        <w:rPr>
          <w:rFonts w:ascii="Cambria" w:hAnsi="Cambria"/>
        </w:rPr>
        <w:t xml:space="preserve"> Influye directamente en el nivel de actividad.</w:t>
      </w:r>
    </w:p>
    <w:p w14:paraId="1B17C317" w14:textId="3CB24E18" w:rsidR="008F30DD" w:rsidRPr="008F30DD" w:rsidRDefault="008F30DD" w:rsidP="008F30DD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Impuestos y Transferencias:</w:t>
      </w:r>
      <w:r w:rsidRPr="008F30DD">
        <w:rPr>
          <w:rFonts w:ascii="Cambria" w:hAnsi="Cambria"/>
        </w:rPr>
        <w:t xml:space="preserve"> Influyen indirectamente afectando la renta disponible, el consumo y la inversión privada.</w:t>
      </w:r>
    </w:p>
    <w:p w14:paraId="79A416AE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1.4. Tipología de la Política Fiscal</w:t>
      </w:r>
    </w:p>
    <w:p w14:paraId="2706FC6F" w14:textId="06EC0338" w:rsidR="008F30DD" w:rsidRPr="008F30DD" w:rsidRDefault="008F30DD" w:rsidP="008F30DD">
      <w:pPr>
        <w:pStyle w:val="Prrafodelista"/>
        <w:numPr>
          <w:ilvl w:val="0"/>
          <w:numId w:val="25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Política Fiscal Expansiva:</w:t>
      </w:r>
    </w:p>
    <w:p w14:paraId="03487F68" w14:textId="77777777" w:rsidR="008F30DD" w:rsidRDefault="008F30DD" w:rsidP="008F30DD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8F30DD">
        <w:rPr>
          <w:rFonts w:ascii="Cambria" w:hAnsi="Cambria"/>
          <w:u w:val="single"/>
        </w:rPr>
        <w:t>Objetivo</w:t>
      </w:r>
      <w:r w:rsidRPr="008F30DD">
        <w:rPr>
          <w:rFonts w:ascii="Cambria" w:hAnsi="Cambria"/>
          <w:i/>
          <w:iCs/>
        </w:rPr>
        <w:t>:</w:t>
      </w:r>
      <w:r w:rsidRPr="008F30DD">
        <w:rPr>
          <w:rFonts w:ascii="Cambria" w:hAnsi="Cambria"/>
        </w:rPr>
        <w:t xml:space="preserve"> Estimular la demanda agregada (combatir recesión/paro).</w:t>
      </w:r>
    </w:p>
    <w:p w14:paraId="396E6EA3" w14:textId="77777777" w:rsidR="008F30DD" w:rsidRDefault="008F30DD" w:rsidP="008F30DD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8F30DD">
        <w:rPr>
          <w:rFonts w:ascii="Cambria" w:hAnsi="Cambria"/>
          <w:u w:val="single"/>
        </w:rPr>
        <w:t>Mecanismos</w:t>
      </w:r>
      <w:r w:rsidRPr="008F30DD">
        <w:rPr>
          <w:rFonts w:ascii="Cambria" w:hAnsi="Cambria"/>
          <w:i/>
          <w:iCs/>
        </w:rPr>
        <w:t>:</w:t>
      </w:r>
      <w:r w:rsidRPr="008F30DD">
        <w:rPr>
          <w:rFonts w:ascii="Cambria" w:hAnsi="Cambria"/>
        </w:rPr>
        <w:t xml:space="preserve"> Aumentar gasto público o bajar impuestos.</w:t>
      </w:r>
    </w:p>
    <w:p w14:paraId="37F3DC1B" w14:textId="08B81E29" w:rsidR="008F30DD" w:rsidRPr="008F30DD" w:rsidRDefault="008F30DD" w:rsidP="008F30DD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8F30DD">
        <w:rPr>
          <w:rFonts w:ascii="Cambria" w:hAnsi="Cambria"/>
          <w:u w:val="single"/>
        </w:rPr>
        <w:t>Riesgos</w:t>
      </w:r>
      <w:r w:rsidRPr="008F30DD">
        <w:rPr>
          <w:rFonts w:ascii="Cambria" w:hAnsi="Cambria"/>
          <w:i/>
          <w:iCs/>
        </w:rPr>
        <w:t>:</w:t>
      </w:r>
      <w:r w:rsidRPr="008F30DD">
        <w:rPr>
          <w:rFonts w:ascii="Cambria" w:hAnsi="Cambria"/>
        </w:rPr>
        <w:t xml:space="preserve"> Puede provocar déficit e inflación.</w:t>
      </w:r>
    </w:p>
    <w:p w14:paraId="6562762E" w14:textId="29BAEC34" w:rsidR="008F30DD" w:rsidRPr="008F30DD" w:rsidRDefault="008F30DD" w:rsidP="008F30DD">
      <w:pPr>
        <w:pStyle w:val="Prrafodelista"/>
        <w:numPr>
          <w:ilvl w:val="0"/>
          <w:numId w:val="25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Política Fiscal Restrictiva:</w:t>
      </w:r>
    </w:p>
    <w:p w14:paraId="468495B4" w14:textId="154A7B22" w:rsidR="008F30DD" w:rsidRPr="008F30DD" w:rsidRDefault="008F30DD" w:rsidP="008F30DD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C44691">
        <w:rPr>
          <w:rFonts w:ascii="Cambria" w:hAnsi="Cambria"/>
          <w:u w:val="single"/>
        </w:rPr>
        <w:t>Objetivo</w:t>
      </w:r>
      <w:r w:rsidRPr="008F30DD">
        <w:rPr>
          <w:rFonts w:ascii="Cambria" w:hAnsi="Cambria"/>
        </w:rPr>
        <w:t>: Frenar la demanda agregada (combatir inflación/exceso de expansión).</w:t>
      </w:r>
    </w:p>
    <w:p w14:paraId="676FF341" w14:textId="561B81FF" w:rsidR="008F30DD" w:rsidRPr="008F30DD" w:rsidRDefault="008F30DD" w:rsidP="008F30DD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C44691">
        <w:rPr>
          <w:rFonts w:ascii="Cambria" w:hAnsi="Cambria"/>
          <w:u w:val="single"/>
        </w:rPr>
        <w:t>Mecanismos</w:t>
      </w:r>
      <w:r w:rsidRPr="008F30DD">
        <w:rPr>
          <w:rFonts w:ascii="Cambria" w:hAnsi="Cambria"/>
        </w:rPr>
        <w:t>: Reducir gasto público o subir impuestos.</w:t>
      </w:r>
    </w:p>
    <w:p w14:paraId="4CD3EEC9" w14:textId="1F50C15F" w:rsidR="008F30DD" w:rsidRPr="008F30DD" w:rsidRDefault="008F30DD" w:rsidP="008F30DD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C44691">
        <w:rPr>
          <w:rFonts w:ascii="Cambria" w:hAnsi="Cambria"/>
          <w:u w:val="single"/>
        </w:rPr>
        <w:t>Resultado</w:t>
      </w:r>
      <w:r w:rsidRPr="008F30DD">
        <w:rPr>
          <w:rFonts w:ascii="Cambria" w:hAnsi="Cambria"/>
        </w:rPr>
        <w:t>: Tiende al superávit presupuestario.</w:t>
      </w:r>
    </w:p>
    <w:p w14:paraId="37EC061E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2. La Política Fiscal Española</w:t>
      </w:r>
    </w:p>
    <w:p w14:paraId="74B38024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2.1. Marco General y Evolución</w:t>
      </w:r>
    </w:p>
    <w:p w14:paraId="2547DDB7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Principios Tributarios:</w:t>
      </w:r>
      <w:r w:rsidRPr="008F30DD">
        <w:rPr>
          <w:rFonts w:ascii="Cambria" w:hAnsi="Cambria"/>
        </w:rPr>
        <w:t xml:space="preserve"> La Constitución y la Ley General Tributaria establecen principios de capacidad económica, igualdad, progresividad y no confiscatoriedad.</w:t>
      </w:r>
    </w:p>
    <w:p w14:paraId="51117A0A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lastRenderedPageBreak/>
        <w:t xml:space="preserve">• </w:t>
      </w:r>
      <w:r w:rsidRPr="008F30DD">
        <w:rPr>
          <w:rFonts w:ascii="Cambria" w:hAnsi="Cambria"/>
          <w:b/>
          <w:bCs/>
        </w:rPr>
        <w:t>Hitos Históricos:</w:t>
      </w:r>
    </w:p>
    <w:p w14:paraId="2683B331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    1. Descentralización autonómica (1982).</w:t>
      </w:r>
    </w:p>
    <w:p w14:paraId="257E254F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    2. Entrada en la CEE (1986): Adopción del IVA y Arancel Exterior Común.</w:t>
      </w:r>
    </w:p>
    <w:p w14:paraId="736A1E9D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    3. Entrada en la UEM (1999): Disciplina fiscal y moneda única.</w:t>
      </w:r>
    </w:p>
    <w:p w14:paraId="492561D9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2.2. Crisis y Consolidación Fiscal</w:t>
      </w:r>
    </w:p>
    <w:p w14:paraId="3A27A291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Periodo pre-UEM:</w:t>
      </w:r>
      <w:r w:rsidRPr="008F30DD">
        <w:rPr>
          <w:rFonts w:ascii="Cambria" w:hAnsi="Cambria"/>
        </w:rPr>
        <w:t xml:space="preserve"> Altos déficits (7% en 1995). Creación de la Oficina Presupuestaria (1996) para cumplir Maastricht, logrando reducir el déficit al 3% para entrar en el euro.</w:t>
      </w:r>
    </w:p>
    <w:p w14:paraId="1D945B43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Crisis 2008:</w:t>
      </w:r>
      <w:r w:rsidRPr="008F30DD">
        <w:rPr>
          <w:rFonts w:ascii="Cambria" w:hAnsi="Cambria"/>
        </w:rPr>
        <w:t xml:space="preserve"> Deterioro grave de finanzas. Déficit récord del 10,95% en 2009. Agotamiento del margen fiscal.</w:t>
      </w:r>
    </w:p>
    <w:p w14:paraId="5F7DD0DC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Crisis COVID-19 (2020):</w:t>
      </w:r>
      <w:r w:rsidRPr="008F30DD">
        <w:rPr>
          <w:rFonts w:ascii="Cambria" w:hAnsi="Cambria"/>
        </w:rPr>
        <w:t xml:space="preserve"> Déficit del 10,95% (122.900 M€). Suspensión temporal de reglas fiscales. Aumento masivo de gasto para ayudas.</w:t>
      </w:r>
    </w:p>
    <w:p w14:paraId="78C2789C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Presión Fiscal:</w:t>
      </w:r>
      <w:r w:rsidRPr="008F30DD">
        <w:rPr>
          <w:rFonts w:ascii="Cambria" w:hAnsi="Cambria"/>
        </w:rPr>
        <w:t xml:space="preserve"> España mantiene una presión fiscal (35,4%) inferior a la media de la UE (41,1%), condicionando el Estado del Bienestar.</w:t>
      </w:r>
    </w:p>
    <w:p w14:paraId="579A0011" w14:textId="4B1A4435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2.3. Nuevas Normas Fiscales</w:t>
      </w:r>
    </w:p>
    <w:p w14:paraId="2845C641" w14:textId="77777777" w:rsid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Reforma del Artículo 135 de la Constitución (2011):</w:t>
      </w:r>
    </w:p>
    <w:p w14:paraId="5186F644" w14:textId="77777777" w:rsidR="008F30DD" w:rsidRPr="008F30DD" w:rsidRDefault="008F30DD" w:rsidP="008F30DD">
      <w:pPr>
        <w:pStyle w:val="Prrafodelista"/>
        <w:numPr>
          <w:ilvl w:val="0"/>
          <w:numId w:val="28"/>
        </w:numPr>
        <w:jc w:val="both"/>
        <w:rPr>
          <w:rFonts w:ascii="Cambria" w:hAnsi="Cambria"/>
        </w:rPr>
      </w:pPr>
      <w:r w:rsidRPr="008F30DD">
        <w:rPr>
          <w:rFonts w:ascii="Cambria" w:hAnsi="Cambria"/>
        </w:rPr>
        <w:t>Prioridad absoluta al pago de la deuda pública.</w:t>
      </w:r>
    </w:p>
    <w:p w14:paraId="22229555" w14:textId="6177F1E0" w:rsidR="008F30DD" w:rsidRPr="008F30DD" w:rsidRDefault="008F30DD" w:rsidP="008F30DD">
      <w:pPr>
        <w:pStyle w:val="Prrafodelista"/>
        <w:numPr>
          <w:ilvl w:val="0"/>
          <w:numId w:val="28"/>
        </w:numPr>
        <w:jc w:val="both"/>
        <w:rPr>
          <w:rFonts w:ascii="Cambria" w:hAnsi="Cambria"/>
        </w:rPr>
      </w:pPr>
      <w:r w:rsidRPr="008F30DD">
        <w:rPr>
          <w:rFonts w:ascii="Cambria" w:hAnsi="Cambria"/>
        </w:rPr>
        <w:t>Principio de estabilidad presupuestaria y límites de déficit estructural.</w:t>
      </w:r>
    </w:p>
    <w:p w14:paraId="05E077A3" w14:textId="77777777" w:rsid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Ley Orgánica 2/2012 de Estabilidad Presupuestaria:</w:t>
      </w:r>
    </w:p>
    <w:p w14:paraId="1BF394B6" w14:textId="3AE532F3" w:rsidR="008F30DD" w:rsidRPr="008F30DD" w:rsidRDefault="008F30DD" w:rsidP="008F30DD">
      <w:pPr>
        <w:pStyle w:val="Prrafodelista"/>
        <w:numPr>
          <w:ilvl w:val="0"/>
          <w:numId w:val="29"/>
        </w:numPr>
        <w:jc w:val="both"/>
        <w:rPr>
          <w:rFonts w:ascii="Cambria" w:hAnsi="Cambria"/>
        </w:rPr>
      </w:pPr>
      <w:r w:rsidRPr="008F30DD">
        <w:rPr>
          <w:rFonts w:ascii="Cambria" w:hAnsi="Cambria"/>
        </w:rPr>
        <w:t>Límite de deuda: 60% del PIB (44% Estado, 13% CCAA, 3% Local).</w:t>
      </w:r>
    </w:p>
    <w:p w14:paraId="77977208" w14:textId="7683DC25" w:rsidR="008F30DD" w:rsidRPr="008F30DD" w:rsidRDefault="008F30DD" w:rsidP="008F30DD">
      <w:pPr>
        <w:pStyle w:val="Prrafodelista"/>
        <w:numPr>
          <w:ilvl w:val="0"/>
          <w:numId w:val="29"/>
        </w:numPr>
        <w:jc w:val="both"/>
        <w:rPr>
          <w:rFonts w:ascii="Cambria" w:hAnsi="Cambria"/>
        </w:rPr>
      </w:pPr>
      <w:r w:rsidRPr="008F30DD">
        <w:rPr>
          <w:rFonts w:ascii="Cambria" w:hAnsi="Cambria"/>
        </w:rPr>
        <w:t>Objetivo de déficit 0 o superávit para todas las AAPP.</w:t>
      </w:r>
    </w:p>
    <w:p w14:paraId="7E54508D" w14:textId="110E95D9" w:rsidR="008F30DD" w:rsidRPr="008F30DD" w:rsidRDefault="008F30DD" w:rsidP="008F30DD">
      <w:pPr>
        <w:pStyle w:val="Prrafodelista"/>
        <w:numPr>
          <w:ilvl w:val="0"/>
          <w:numId w:val="29"/>
        </w:numPr>
        <w:jc w:val="both"/>
        <w:rPr>
          <w:rFonts w:ascii="Cambria" w:hAnsi="Cambria"/>
        </w:rPr>
      </w:pPr>
      <w:r w:rsidRPr="008F30DD">
        <w:rPr>
          <w:rFonts w:ascii="Cambria" w:hAnsi="Cambria"/>
        </w:rPr>
        <w:t>Responsabilidad compartida adaptada a normativa UE.</w:t>
      </w:r>
    </w:p>
    <w:p w14:paraId="247B6D7D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3. Disciplina Fiscal en la Unión Europea</w:t>
      </w:r>
    </w:p>
    <w:p w14:paraId="2E242BC7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3.1. Justificación de la Disciplina</w:t>
      </w:r>
    </w:p>
    <w:p w14:paraId="3CB04331" w14:textId="6E881D8E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• Necesidad de evitar efectos negativos cruzado</w:t>
      </w:r>
      <w:r>
        <w:rPr>
          <w:rFonts w:ascii="Cambria" w:hAnsi="Cambria"/>
        </w:rPr>
        <w:t xml:space="preserve"> </w:t>
      </w:r>
      <w:r w:rsidRPr="008F30DD">
        <w:rPr>
          <w:rFonts w:ascii="Cambria" w:hAnsi="Cambria"/>
        </w:rPr>
        <w:t>entre países miembros (ej. subidas de tipos de interés por culpa de un país endeudado).</w:t>
      </w:r>
    </w:p>
    <w:p w14:paraId="510E76BB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• La política fiscal se mantiene nacional, pero coordinada para proteger la independencia del BCE y la estabilidad de precios.</w:t>
      </w:r>
    </w:p>
    <w:p w14:paraId="466CD79F" w14:textId="152944C0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3.2. Criterios de Convergencia</w:t>
      </w:r>
    </w:p>
    <w:p w14:paraId="32EDCC29" w14:textId="7F7F0196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Para acceder al </w:t>
      </w:r>
      <w:proofErr w:type="gramStart"/>
      <w:r w:rsidRPr="008F30DD">
        <w:rPr>
          <w:rFonts w:ascii="Cambria" w:hAnsi="Cambria"/>
        </w:rPr>
        <w:t>Euro</w:t>
      </w:r>
      <w:proofErr w:type="gramEnd"/>
      <w:r w:rsidRPr="008F30DD">
        <w:rPr>
          <w:rFonts w:ascii="Cambria" w:hAnsi="Cambria"/>
        </w:rPr>
        <w:t xml:space="preserve"> se exigió:</w:t>
      </w:r>
    </w:p>
    <w:p w14:paraId="67BE0DC5" w14:textId="60C3F1C5" w:rsidR="008F30DD" w:rsidRPr="008F30DD" w:rsidRDefault="008F30DD" w:rsidP="008F30DD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Déficit:</w:t>
      </w:r>
      <w:r w:rsidRPr="008F30DD">
        <w:rPr>
          <w:rFonts w:ascii="Cambria" w:hAnsi="Cambria"/>
        </w:rPr>
        <w:t xml:space="preserve"> No superior al 3% del PIB.</w:t>
      </w:r>
    </w:p>
    <w:p w14:paraId="01232659" w14:textId="72BD750E" w:rsidR="008F30DD" w:rsidRPr="008F30DD" w:rsidRDefault="008F30DD" w:rsidP="008F30DD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Deuda:</w:t>
      </w:r>
      <w:r w:rsidRPr="008F30DD">
        <w:rPr>
          <w:rFonts w:ascii="Cambria" w:hAnsi="Cambria"/>
        </w:rPr>
        <w:t xml:space="preserve"> No superior al 60% del PIB.</w:t>
      </w:r>
    </w:p>
    <w:p w14:paraId="0F87251D" w14:textId="77777777" w:rsidR="00B97B41" w:rsidRDefault="008F30DD" w:rsidP="008F30DD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lastRenderedPageBreak/>
        <w:t>Inflación y Tipos de Interés:</w:t>
      </w:r>
      <w:r w:rsidRPr="008F30DD">
        <w:rPr>
          <w:rFonts w:ascii="Cambria" w:hAnsi="Cambria"/>
        </w:rPr>
        <w:t xml:space="preserve"> Cercanos a los países con mejor comportamiento</w:t>
      </w:r>
    </w:p>
    <w:p w14:paraId="00286E33" w14:textId="74BCF16F" w:rsidR="008F30DD" w:rsidRPr="00B97B41" w:rsidRDefault="008F30DD" w:rsidP="008F30DD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B97B41">
        <w:rPr>
          <w:rFonts w:ascii="Cambria" w:hAnsi="Cambria"/>
          <w:b/>
          <w:bCs/>
        </w:rPr>
        <w:t>Tipo de Cambio:</w:t>
      </w:r>
      <w:r w:rsidRPr="00B97B41">
        <w:rPr>
          <w:rFonts w:ascii="Cambria" w:hAnsi="Cambria"/>
        </w:rPr>
        <w:t xml:space="preserve"> Estabilidad en el SME durante 2 años.</w:t>
      </w:r>
    </w:p>
    <w:p w14:paraId="7615A77B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 xml:space="preserve">3.3. Pacto de Estabilidad y Crecimiento (PEC) </w:t>
      </w:r>
    </w:p>
    <w:p w14:paraId="2A1846D0" w14:textId="5898B99D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Normas para mantener finanzas saneadas en la UEM:</w:t>
      </w:r>
    </w:p>
    <w:p w14:paraId="00615A75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Vertiente Preventiva:</w:t>
      </w:r>
      <w:r w:rsidRPr="008F30DD">
        <w:rPr>
          <w:rFonts w:ascii="Cambria" w:hAnsi="Cambria"/>
        </w:rPr>
        <w:t xml:space="preserve"> Programas de Estabilidad (países </w:t>
      </w:r>
      <w:proofErr w:type="gramStart"/>
      <w:r w:rsidRPr="008F30DD">
        <w:rPr>
          <w:rFonts w:ascii="Cambria" w:hAnsi="Cambria"/>
        </w:rPr>
        <w:t>Euro</w:t>
      </w:r>
      <w:proofErr w:type="gramEnd"/>
      <w:r w:rsidRPr="008F30DD">
        <w:rPr>
          <w:rFonts w:ascii="Cambria" w:hAnsi="Cambria"/>
        </w:rPr>
        <w:t>) o Convergencia. Supervisión multilateral.</w:t>
      </w:r>
    </w:p>
    <w:p w14:paraId="31D7E18B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Vertiente Correctora (Procedimiento de Déficit Excesivo - PDE):</w:t>
      </w:r>
      <w:r w:rsidRPr="008F30DD">
        <w:rPr>
          <w:rFonts w:ascii="Cambria" w:hAnsi="Cambria"/>
        </w:rPr>
        <w:t xml:space="preserve"> Se activa si se supera el 3% de déficit. Puede conllevar sanciones (multas del 0,2% al 0,5% del PIB) y suspensión de Fondos Estructurales.</w:t>
      </w:r>
    </w:p>
    <w:p w14:paraId="41F45D53" w14:textId="7CAEB91A" w:rsidR="008F30DD" w:rsidRPr="008F30DD" w:rsidRDefault="008F30DD" w:rsidP="008F30DD">
      <w:pPr>
        <w:pStyle w:val="Ttulo2"/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3.4. Refuerzo de la Gobernanza</w:t>
      </w:r>
    </w:p>
    <w:p w14:paraId="56AD1A7C" w14:textId="2A41EE99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Six-Pack (2011):</w:t>
      </w:r>
      <w:r w:rsidRPr="008F30DD">
        <w:rPr>
          <w:rFonts w:ascii="Cambria" w:hAnsi="Cambria"/>
        </w:rPr>
        <w:t xml:space="preserve"> 6 </w:t>
      </w:r>
      <w:r w:rsidR="00354D70">
        <w:rPr>
          <w:rFonts w:ascii="Cambria" w:hAnsi="Cambria"/>
        </w:rPr>
        <w:t>reglamentos</w:t>
      </w:r>
      <w:r w:rsidRPr="008F30DD">
        <w:rPr>
          <w:rFonts w:ascii="Cambria" w:hAnsi="Cambria"/>
        </w:rPr>
        <w:t xml:space="preserve"> para fortalecer la supervisión fiscal y macroeconómica. Atención a la evolución de la deuda, no solo al déficit.</w:t>
      </w:r>
    </w:p>
    <w:p w14:paraId="49DDDF03" w14:textId="4A617B2F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Pacto Presupuestario:</w:t>
      </w:r>
      <w:r w:rsidRPr="008F30DD">
        <w:rPr>
          <w:rFonts w:ascii="Cambria" w:hAnsi="Cambria"/>
        </w:rPr>
        <w:t xml:space="preserve"> Tratado intergubernamental para reforzar la disciplina.</w:t>
      </w:r>
    </w:p>
    <w:p w14:paraId="5FC1595E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Two-Pack (2013):</w:t>
      </w:r>
      <w:r w:rsidRPr="008F30DD">
        <w:rPr>
          <w:rFonts w:ascii="Cambria" w:hAnsi="Cambria"/>
        </w:rPr>
        <w:t xml:space="preserve"> Supervisión reforzada específica para la Zona </w:t>
      </w:r>
      <w:proofErr w:type="gramStart"/>
      <w:r w:rsidRPr="008F30DD">
        <w:rPr>
          <w:rFonts w:ascii="Cambria" w:hAnsi="Cambria"/>
        </w:rPr>
        <w:t>Euro</w:t>
      </w:r>
      <w:proofErr w:type="gramEnd"/>
      <w:r w:rsidRPr="008F30DD">
        <w:rPr>
          <w:rFonts w:ascii="Cambria" w:hAnsi="Cambria"/>
        </w:rPr>
        <w:t xml:space="preserve"> (mayor control sobre borradores presupuestarios).</w:t>
      </w:r>
    </w:p>
    <w:p w14:paraId="178E5ED7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3.5. Flexibilidad y Excepciones</w:t>
      </w:r>
    </w:p>
    <w:p w14:paraId="4BD922F7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Cláusula General de Salvaguardia:</w:t>
      </w:r>
      <w:r w:rsidRPr="008F30DD">
        <w:rPr>
          <w:rFonts w:ascii="Cambria" w:hAnsi="Cambria"/>
        </w:rPr>
        <w:t xml:space="preserve"> Activada en marzo de 2020 por el COVID-19. Permite desviarse de las trayectorias de ajuste temporalmente ante crisis graves, sin suspender los procedimientos del PEC.</w:t>
      </w:r>
    </w:p>
    <w:p w14:paraId="641F34CC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• </w:t>
      </w:r>
      <w:r w:rsidRPr="008F30DD">
        <w:rPr>
          <w:rFonts w:ascii="Cambria" w:hAnsi="Cambria"/>
          <w:b/>
          <w:bCs/>
        </w:rPr>
        <w:t>Meta de Inflación del BCE (2021):</w:t>
      </w:r>
      <w:r w:rsidRPr="008F30DD">
        <w:rPr>
          <w:rFonts w:ascii="Cambria" w:hAnsi="Cambria"/>
        </w:rPr>
        <w:t xml:space="preserve"> Nuevo objetivo de inflación simétrico del 2% a medio plazo, permitiendo desviaciones transitorias.</w:t>
      </w:r>
    </w:p>
    <w:p w14:paraId="5E1EAA8D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4. Financiación del Déficit Público</w:t>
      </w:r>
    </w:p>
    <w:p w14:paraId="6930CE21" w14:textId="369014D3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4.1. Restricción Presupuestaria del Gobierno</w:t>
      </w:r>
    </w:p>
    <w:p w14:paraId="5981C9F3" w14:textId="37C705A8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El gobierno no puede gastar más de lo que ingresa o se endeuda.</w:t>
      </w:r>
    </w:p>
    <w:p w14:paraId="632D4A3D" w14:textId="32AF1277" w:rsidR="008F30DD" w:rsidRPr="00B97B41" w:rsidRDefault="00B97B41" w:rsidP="00B97B41">
      <w:pPr>
        <w:jc w:val="center"/>
        <w:rPr>
          <w:rFonts w:ascii="Cambria" w:hAnsi="Cambria"/>
          <w:b/>
          <w:bCs/>
        </w:rPr>
      </w:pPr>
      <w:r w:rsidRPr="00B97B41">
        <w:rPr>
          <w:rFonts w:ascii="Cambria" w:hAnsi="Cambria"/>
          <w:b/>
          <w:bCs/>
          <w:i/>
          <w:iCs/>
        </w:rPr>
        <w:t>Gasto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+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Intereses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=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Impuestos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+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proofErr w:type="spellStart"/>
      <w:r w:rsidRPr="00B97B41">
        <w:rPr>
          <w:rFonts w:ascii="Cambria" w:hAnsi="Cambria"/>
          <w:b/>
          <w:bCs/>
          <w:i/>
          <w:iCs/>
        </w:rPr>
        <w:t>ΔBase</w:t>
      </w:r>
      <w:proofErr w:type="spellEnd"/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Monetaria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+</w:t>
      </w:r>
      <w:r w:rsidRPr="00B97B41">
        <w:rPr>
          <w:rFonts w:ascii="Cambria" w:hAnsi="Cambria"/>
          <w:b/>
          <w:bCs/>
          <w:i/>
          <w:iCs/>
        </w:rPr>
        <w:t xml:space="preserve"> </w:t>
      </w:r>
      <w:proofErr w:type="spellStart"/>
      <w:r w:rsidRPr="00B97B41">
        <w:rPr>
          <w:rFonts w:ascii="Cambria" w:hAnsi="Cambria"/>
          <w:b/>
          <w:bCs/>
          <w:i/>
          <w:iCs/>
        </w:rPr>
        <w:t>ΔDeuda</w:t>
      </w:r>
      <w:proofErr w:type="spellEnd"/>
      <w:r w:rsidRPr="00B97B41">
        <w:rPr>
          <w:rFonts w:ascii="Cambria" w:hAnsi="Cambria"/>
          <w:b/>
          <w:bCs/>
          <w:i/>
          <w:iCs/>
        </w:rPr>
        <w:t xml:space="preserve"> </w:t>
      </w:r>
      <w:r w:rsidRPr="00B97B41">
        <w:rPr>
          <w:rFonts w:ascii="Cambria" w:hAnsi="Cambria"/>
          <w:b/>
          <w:bCs/>
          <w:i/>
          <w:iCs/>
        </w:rPr>
        <w:t>P</w:t>
      </w:r>
      <w:r w:rsidRPr="00B97B41">
        <w:rPr>
          <w:rFonts w:ascii="Cambria" w:hAnsi="Cambria"/>
          <w:b/>
          <w:bCs/>
          <w:i/>
          <w:iCs/>
        </w:rPr>
        <w:t>ú</w:t>
      </w:r>
      <w:r w:rsidRPr="00B97B41">
        <w:rPr>
          <w:rFonts w:ascii="Cambria" w:hAnsi="Cambria"/>
          <w:b/>
          <w:bCs/>
          <w:i/>
          <w:iCs/>
        </w:rPr>
        <w:t>blica</w:t>
      </w:r>
    </w:p>
    <w:p w14:paraId="5B85F3A1" w14:textId="3D78045A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La política fiscal y monetaria son interdependientes</w:t>
      </w:r>
      <w:r w:rsidR="00C44691">
        <w:rPr>
          <w:rFonts w:ascii="Cambria" w:hAnsi="Cambria"/>
        </w:rPr>
        <w:t xml:space="preserve">, </w:t>
      </w:r>
      <w:r w:rsidRPr="008F30DD">
        <w:rPr>
          <w:rFonts w:ascii="Cambria" w:hAnsi="Cambria"/>
        </w:rPr>
        <w:t>un déficit exige una decisión de financiación.</w:t>
      </w:r>
    </w:p>
    <w:p w14:paraId="3CE04FCA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4.2. Vías de Financiación</w:t>
      </w:r>
    </w:p>
    <w:p w14:paraId="0461CC3B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1. </w:t>
      </w:r>
      <w:r w:rsidRPr="008F30DD">
        <w:rPr>
          <w:rFonts w:ascii="Cambria" w:hAnsi="Cambria"/>
          <w:b/>
          <w:bCs/>
        </w:rPr>
        <w:t>Impuestos:</w:t>
      </w:r>
      <w:r w:rsidRPr="008F30DD">
        <w:rPr>
          <w:rFonts w:ascii="Cambria" w:hAnsi="Cambria"/>
        </w:rPr>
        <w:t xml:space="preserve"> Si cubren el gasto, reducen el déficit, pero pueden distorsionar el consumo y la inversión. Políticamente costosos.</w:t>
      </w:r>
    </w:p>
    <w:p w14:paraId="36E4B0BA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2. </w:t>
      </w:r>
      <w:r w:rsidRPr="008F30DD">
        <w:rPr>
          <w:rFonts w:ascii="Cambria" w:hAnsi="Cambria"/>
          <w:b/>
          <w:bCs/>
        </w:rPr>
        <w:t>Emisión de Dinero (Monetización):</w:t>
      </w:r>
      <w:r w:rsidRPr="008F30DD">
        <w:rPr>
          <w:rFonts w:ascii="Cambria" w:hAnsi="Cambria"/>
        </w:rPr>
        <w:t xml:space="preserve"> Facultad del Banco Central. Genera inflación. Actualmente limitada legalmente en la UE (independencia del BCE).</w:t>
      </w:r>
    </w:p>
    <w:p w14:paraId="7E5C995F" w14:textId="77777777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lastRenderedPageBreak/>
        <w:t xml:space="preserve">3. </w:t>
      </w:r>
      <w:r w:rsidRPr="008F30DD">
        <w:rPr>
          <w:rFonts w:ascii="Cambria" w:hAnsi="Cambria"/>
          <w:b/>
          <w:bCs/>
        </w:rPr>
        <w:t>Emisión de Deuda Pública:</w:t>
      </w:r>
    </w:p>
    <w:p w14:paraId="4174CE7E" w14:textId="2DF4085B" w:rsidR="008F30DD" w:rsidRPr="00B97B41" w:rsidRDefault="008F30DD" w:rsidP="00B97B41">
      <w:pPr>
        <w:pStyle w:val="Prrafodelista"/>
        <w:numPr>
          <w:ilvl w:val="0"/>
          <w:numId w:val="32"/>
        </w:numPr>
        <w:jc w:val="both"/>
        <w:rPr>
          <w:rFonts w:ascii="Cambria" w:hAnsi="Cambria"/>
        </w:rPr>
      </w:pPr>
      <w:r w:rsidRPr="00B97B41">
        <w:rPr>
          <w:rFonts w:ascii="Cambria" w:hAnsi="Cambria"/>
        </w:rPr>
        <w:t>No empobrece necesariamente a futuras generaciones si se refinancia.</w:t>
      </w:r>
    </w:p>
    <w:p w14:paraId="392290B7" w14:textId="38ED584C" w:rsidR="008F30DD" w:rsidRPr="00B97B41" w:rsidRDefault="008F30DD" w:rsidP="00B97B41">
      <w:pPr>
        <w:pStyle w:val="Prrafodelista"/>
        <w:numPr>
          <w:ilvl w:val="0"/>
          <w:numId w:val="32"/>
        </w:numPr>
        <w:jc w:val="both"/>
        <w:rPr>
          <w:rFonts w:ascii="Cambria" w:hAnsi="Cambria"/>
        </w:rPr>
      </w:pPr>
      <w:r w:rsidRPr="00B97B41">
        <w:rPr>
          <w:rFonts w:ascii="Cambria" w:hAnsi="Cambria"/>
          <w:b/>
          <w:bCs/>
        </w:rPr>
        <w:t>Efecto Desplazamiento (</w:t>
      </w:r>
      <w:proofErr w:type="spellStart"/>
      <w:r w:rsidRPr="00B97B41">
        <w:rPr>
          <w:rFonts w:ascii="Cambria" w:hAnsi="Cambria"/>
          <w:b/>
          <w:bCs/>
          <w:i/>
          <w:iCs/>
        </w:rPr>
        <w:t>Crowding</w:t>
      </w:r>
      <w:proofErr w:type="spellEnd"/>
      <w:r w:rsidRPr="00B97B41">
        <w:rPr>
          <w:rFonts w:ascii="Cambria" w:hAnsi="Cambria"/>
          <w:b/>
          <w:bCs/>
          <w:i/>
          <w:iCs/>
        </w:rPr>
        <w:t xml:space="preserve"> </w:t>
      </w:r>
      <w:proofErr w:type="spellStart"/>
      <w:r w:rsidRPr="00B97B41">
        <w:rPr>
          <w:rFonts w:ascii="Cambria" w:hAnsi="Cambria"/>
          <w:b/>
          <w:bCs/>
          <w:i/>
          <w:iCs/>
        </w:rPr>
        <w:t>Out</w:t>
      </w:r>
      <w:proofErr w:type="spellEnd"/>
      <w:r w:rsidRPr="00B97B41">
        <w:rPr>
          <w:rFonts w:ascii="Cambria" w:hAnsi="Cambria"/>
          <w:b/>
          <w:bCs/>
        </w:rPr>
        <w:t>):</w:t>
      </w:r>
      <w:r w:rsidRPr="00B97B41">
        <w:rPr>
          <w:rFonts w:ascii="Cambria" w:hAnsi="Cambria"/>
        </w:rPr>
        <w:t xml:space="preserve"> Al emitir deuda, el Estado compite por fondos con el sector privado, subiendo los tipos de interés y reduciendo la inversión privada.</w:t>
      </w:r>
    </w:p>
    <w:p w14:paraId="414FD375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5. Sostenibilidad del Déficit Público</w:t>
      </w:r>
    </w:p>
    <w:p w14:paraId="2E6FF94F" w14:textId="77777777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5.1. Enfoques de Sostenibilidad</w:t>
      </w:r>
    </w:p>
    <w:p w14:paraId="18BC2252" w14:textId="507BA2A4" w:rsidR="008F30DD" w:rsidRPr="00B97B41" w:rsidRDefault="008F30DD" w:rsidP="00B97B41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B97B41">
        <w:rPr>
          <w:rFonts w:ascii="Cambria" w:hAnsi="Cambria"/>
          <w:b/>
          <w:bCs/>
        </w:rPr>
        <w:t>A Corto Plazo (Criterio UE):</w:t>
      </w:r>
      <w:r w:rsidRPr="00B97B41">
        <w:rPr>
          <w:rFonts w:ascii="Cambria" w:hAnsi="Cambria"/>
        </w:rPr>
        <w:t xml:space="preserve"> Basado en la regla del déficit máximo del 3%. Crítica: Puede forzar </w:t>
      </w:r>
      <w:r w:rsidRPr="00354D70">
        <w:rPr>
          <w:rFonts w:ascii="Cambria" w:hAnsi="Cambria"/>
        </w:rPr>
        <w:t>políticas procíclicas</w:t>
      </w:r>
      <w:r w:rsidRPr="00B97B41">
        <w:rPr>
          <w:rFonts w:ascii="Cambria" w:hAnsi="Cambria"/>
        </w:rPr>
        <w:t xml:space="preserve"> en recesión (recortar gasto cuando se necesita estimular).</w:t>
      </w:r>
    </w:p>
    <w:p w14:paraId="047D565F" w14:textId="11D22730" w:rsidR="008F30DD" w:rsidRPr="00B97B41" w:rsidRDefault="008F30DD" w:rsidP="00B97B41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B97B41">
        <w:rPr>
          <w:rFonts w:ascii="Cambria" w:hAnsi="Cambria"/>
          <w:b/>
          <w:bCs/>
        </w:rPr>
        <w:t>A Medio Plazo (Estructural):</w:t>
      </w:r>
      <w:r w:rsidRPr="00B97B41">
        <w:rPr>
          <w:rFonts w:ascii="Cambria" w:hAnsi="Cambria"/>
        </w:rPr>
        <w:t xml:space="preserve"> Capacidad de controlar flujos a lo largo del tiempo. Considera la presión fiscal máxima tolerada y la movilidad del capital global.</w:t>
      </w:r>
    </w:p>
    <w:p w14:paraId="3202EC08" w14:textId="77777777" w:rsidR="00B97B41" w:rsidRDefault="008F30DD" w:rsidP="008F30DD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B97B41">
        <w:rPr>
          <w:rFonts w:ascii="Cambria" w:hAnsi="Cambria"/>
          <w:b/>
          <w:bCs/>
        </w:rPr>
        <w:t>A Largo Plazo (Demográfico):</w:t>
      </w:r>
      <w:r w:rsidRPr="00B97B41">
        <w:rPr>
          <w:rFonts w:ascii="Cambria" w:hAnsi="Cambria"/>
        </w:rPr>
        <w:t xml:space="preserve"> El verdadero reto es el envejecimiento poblacional (pensiones, sanidad).</w:t>
      </w:r>
    </w:p>
    <w:p w14:paraId="55CBFA84" w14:textId="77777777" w:rsidR="00B97B41" w:rsidRDefault="008F30DD" w:rsidP="00B97B41">
      <w:pPr>
        <w:pStyle w:val="Prrafodelista"/>
        <w:numPr>
          <w:ilvl w:val="0"/>
          <w:numId w:val="34"/>
        </w:numPr>
        <w:jc w:val="both"/>
        <w:rPr>
          <w:rFonts w:ascii="Cambria" w:hAnsi="Cambria"/>
        </w:rPr>
      </w:pPr>
      <w:r w:rsidRPr="00B97B41">
        <w:rPr>
          <w:rFonts w:ascii="Cambria" w:hAnsi="Cambria"/>
          <w:u w:val="single"/>
        </w:rPr>
        <w:t>Ejemplo</w:t>
      </w:r>
      <w:r w:rsidRPr="00B97B41">
        <w:rPr>
          <w:rFonts w:ascii="Cambria" w:hAnsi="Cambria"/>
          <w:i/>
          <w:iCs/>
        </w:rPr>
        <w:t>:</w:t>
      </w:r>
      <w:r w:rsidRPr="00B97B41">
        <w:rPr>
          <w:rFonts w:ascii="Cambria" w:hAnsi="Cambria"/>
        </w:rPr>
        <w:t xml:space="preserve"> Si la ratio cotizante/pensionista cae, el déficit estructural se dispara.</w:t>
      </w:r>
    </w:p>
    <w:p w14:paraId="4E454D7F" w14:textId="099C8CA3" w:rsidR="008F30DD" w:rsidRPr="00B97B41" w:rsidRDefault="008F30DD" w:rsidP="00B97B41">
      <w:pPr>
        <w:pStyle w:val="Prrafodelista"/>
        <w:numPr>
          <w:ilvl w:val="0"/>
          <w:numId w:val="34"/>
        </w:numPr>
        <w:jc w:val="both"/>
        <w:rPr>
          <w:rFonts w:ascii="Cambria" w:hAnsi="Cambria"/>
        </w:rPr>
      </w:pPr>
      <w:r w:rsidRPr="00B97B41">
        <w:rPr>
          <w:rFonts w:ascii="Cambria" w:hAnsi="Cambria"/>
          <w:u w:val="single"/>
        </w:rPr>
        <w:t>Necesidad</w:t>
      </w:r>
      <w:r w:rsidRPr="00B97B41">
        <w:rPr>
          <w:rFonts w:ascii="Cambria" w:hAnsi="Cambria"/>
          <w:i/>
          <w:iCs/>
        </w:rPr>
        <w:t>:</w:t>
      </w:r>
      <w:r w:rsidRPr="00B97B41">
        <w:rPr>
          <w:rFonts w:ascii="Cambria" w:hAnsi="Cambria"/>
        </w:rPr>
        <w:t xml:space="preserve"> Reformas en pensiones (cuentas nocionales, edad jubilación) y mercado laboral.</w:t>
      </w:r>
    </w:p>
    <w:p w14:paraId="4BA1A204" w14:textId="77777777" w:rsidR="00B97B41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5.2. Definición Técnica de Sostenibilidad</w:t>
      </w:r>
      <w:r w:rsidRPr="008F30DD">
        <w:rPr>
          <w:rFonts w:ascii="Cambria" w:hAnsi="Cambria"/>
        </w:rPr>
        <w:t xml:space="preserve"> </w:t>
      </w:r>
    </w:p>
    <w:p w14:paraId="53BAD0C9" w14:textId="0D5687BA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 xml:space="preserve">La política fiscal es sostenible cuando el </w:t>
      </w:r>
      <w:r w:rsidRPr="008F30DD">
        <w:rPr>
          <w:rFonts w:ascii="Cambria" w:hAnsi="Cambria"/>
          <w:b/>
          <w:bCs/>
        </w:rPr>
        <w:t>valor actual de la deuda</w:t>
      </w:r>
      <w:r w:rsidRPr="008F30DD">
        <w:rPr>
          <w:rFonts w:ascii="Cambria" w:hAnsi="Cambria"/>
        </w:rPr>
        <w:t xml:space="preserve"> iguala el </w:t>
      </w:r>
      <w:r w:rsidRPr="008F30DD">
        <w:rPr>
          <w:rFonts w:ascii="Cambria" w:hAnsi="Cambria"/>
          <w:b/>
          <w:bCs/>
        </w:rPr>
        <w:t>valor presente esperado de los superávits futuros</w:t>
      </w:r>
      <w:r w:rsidRPr="008F30DD">
        <w:rPr>
          <w:rFonts w:ascii="Cambria" w:hAnsi="Cambria"/>
        </w:rPr>
        <w:t>. El gobierno debe estabilizar la proporción Deuda/PIB, no el nivel absoluto de deuda.</w:t>
      </w:r>
    </w:p>
    <w:p w14:paraId="3452CC09" w14:textId="77777777" w:rsidR="008F30DD" w:rsidRPr="008F30DD" w:rsidRDefault="008F30DD" w:rsidP="008F30D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30DD">
        <w:rPr>
          <w:rFonts w:ascii="Cambria" w:hAnsi="Cambria"/>
          <w:b/>
          <w:bCs/>
          <w:color w:val="auto"/>
          <w:sz w:val="28"/>
          <w:szCs w:val="28"/>
        </w:rPr>
        <w:t>6. Estrategia Europa 2020</w:t>
      </w:r>
    </w:p>
    <w:p w14:paraId="676A36E8" w14:textId="23EC9EFE" w:rsidR="008F30DD" w:rsidRPr="008F30DD" w:rsidRDefault="008F30DD" w:rsidP="008F30DD">
      <w:pPr>
        <w:jc w:val="both"/>
        <w:rPr>
          <w:rFonts w:ascii="Cambria" w:hAnsi="Cambria"/>
        </w:rPr>
      </w:pPr>
      <w:r w:rsidRPr="008F30DD">
        <w:rPr>
          <w:rFonts w:ascii="Cambria" w:hAnsi="Cambria"/>
        </w:rPr>
        <w:t>Sucesora de la Estrategia de Lisboa</w:t>
      </w:r>
      <w:r w:rsidR="00C44691">
        <w:rPr>
          <w:rFonts w:ascii="Cambria" w:hAnsi="Cambria"/>
        </w:rPr>
        <w:t xml:space="preserve">, </w:t>
      </w:r>
      <w:r w:rsidRPr="008F30DD">
        <w:rPr>
          <w:rFonts w:ascii="Cambria" w:hAnsi="Cambria"/>
        </w:rPr>
        <w:t xml:space="preserve">busca un crecimiento inteligente, sostenible e integrador. Se supervisa dentro del </w:t>
      </w:r>
      <w:r w:rsidRPr="00B97B41">
        <w:rPr>
          <w:rFonts w:ascii="Cambria" w:hAnsi="Cambria"/>
          <w:b/>
          <w:bCs/>
          <w:u w:val="single"/>
        </w:rPr>
        <w:t>Semestre Europeo</w:t>
      </w:r>
      <w:r w:rsidRPr="00B97B41">
        <w:rPr>
          <w:rFonts w:ascii="Cambria" w:hAnsi="Cambria"/>
          <w:u w:val="single"/>
        </w:rPr>
        <w:t>.</w:t>
      </w:r>
    </w:p>
    <w:p w14:paraId="70C9409D" w14:textId="2775572E" w:rsidR="008F30DD" w:rsidRPr="008F30DD" w:rsidRDefault="008F30DD" w:rsidP="008F30D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30DD">
        <w:rPr>
          <w:rFonts w:ascii="Cambria" w:hAnsi="Cambria"/>
          <w:b/>
          <w:bCs/>
          <w:color w:val="auto"/>
          <w:sz w:val="24"/>
          <w:szCs w:val="24"/>
        </w:rPr>
        <w:t>6.1. Los 5 Objetivos Clave (</w:t>
      </w:r>
      <w:r w:rsidR="00206782">
        <w:rPr>
          <w:rFonts w:ascii="Cambria" w:hAnsi="Cambria"/>
          <w:b/>
          <w:bCs/>
          <w:color w:val="auto"/>
          <w:sz w:val="24"/>
          <w:szCs w:val="24"/>
        </w:rPr>
        <w:t>actualizar</w:t>
      </w:r>
      <w:r w:rsidRPr="008F30DD">
        <w:rPr>
          <w:rFonts w:ascii="Cambria" w:hAnsi="Cambria"/>
          <w:b/>
          <w:bCs/>
          <w:color w:val="auto"/>
          <w:sz w:val="24"/>
          <w:szCs w:val="24"/>
        </w:rPr>
        <w:t>)</w:t>
      </w:r>
    </w:p>
    <w:p w14:paraId="73C0BB2C" w14:textId="54014758" w:rsidR="008F30DD" w:rsidRPr="008F30DD" w:rsidRDefault="008F30DD" w:rsidP="008F30DD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Empleo:</w:t>
      </w:r>
      <w:r w:rsidRPr="008F30DD">
        <w:rPr>
          <w:rFonts w:ascii="Cambria" w:hAnsi="Cambria"/>
        </w:rPr>
        <w:t xml:space="preserve"> Tasa del 75% (20-64 años).</w:t>
      </w:r>
    </w:p>
    <w:p w14:paraId="43D975CE" w14:textId="5829D379" w:rsidR="008F30DD" w:rsidRPr="008F30DD" w:rsidRDefault="008F30DD" w:rsidP="008F30DD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I+D:</w:t>
      </w:r>
      <w:r w:rsidRPr="008F30DD">
        <w:rPr>
          <w:rFonts w:ascii="Cambria" w:hAnsi="Cambria"/>
        </w:rPr>
        <w:t xml:space="preserve"> Inversión del 3% del PIB.</w:t>
      </w:r>
    </w:p>
    <w:p w14:paraId="09D91F7C" w14:textId="6FE7576C" w:rsidR="008F30DD" w:rsidRPr="00C44691" w:rsidRDefault="008F30DD" w:rsidP="00C44691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Clima y Energía (20/20/20)</w:t>
      </w:r>
      <w:r w:rsidR="00C44691">
        <w:rPr>
          <w:rFonts w:ascii="Cambria" w:hAnsi="Cambria"/>
          <w:b/>
          <w:bCs/>
        </w:rPr>
        <w:t>:</w:t>
      </w:r>
    </w:p>
    <w:p w14:paraId="69999184" w14:textId="158B8563" w:rsidR="008F30DD" w:rsidRPr="008F30DD" w:rsidRDefault="008F30DD" w:rsidP="008F30DD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Educación:</w:t>
      </w:r>
      <w:r w:rsidRPr="008F30DD">
        <w:rPr>
          <w:rFonts w:ascii="Cambria" w:hAnsi="Cambria"/>
        </w:rPr>
        <w:t xml:space="preserve"> Abandono escolar &lt;10% y 40% de población (30-34 años) con estudios terciarios.</w:t>
      </w:r>
    </w:p>
    <w:p w14:paraId="43705B01" w14:textId="004D5BA4" w:rsidR="008F30DD" w:rsidRPr="008F30DD" w:rsidRDefault="008F30DD" w:rsidP="008F30DD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8F30DD">
        <w:rPr>
          <w:rFonts w:ascii="Cambria" w:hAnsi="Cambria"/>
          <w:b/>
          <w:bCs/>
        </w:rPr>
        <w:t>Pobreza:</w:t>
      </w:r>
      <w:r w:rsidRPr="008F30DD">
        <w:rPr>
          <w:rFonts w:ascii="Cambria" w:hAnsi="Cambria"/>
        </w:rPr>
        <w:t xml:space="preserve"> Reducir en 20 millones las personas en riesgo de exclusión</w:t>
      </w:r>
    </w:p>
    <w:p w14:paraId="4B5BAA47" w14:textId="77777777" w:rsidR="00A65383" w:rsidRPr="008F30DD" w:rsidRDefault="00A65383" w:rsidP="008F30DD">
      <w:pPr>
        <w:jc w:val="both"/>
        <w:rPr>
          <w:rFonts w:ascii="Cambria" w:hAnsi="Cambria"/>
        </w:rPr>
      </w:pPr>
    </w:p>
    <w:sectPr w:rsidR="00A65383" w:rsidRPr="008F30D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846A" w14:textId="77777777" w:rsidR="001E114C" w:rsidRDefault="001E114C" w:rsidP="001E114C">
      <w:pPr>
        <w:spacing w:after="0" w:line="240" w:lineRule="auto"/>
      </w:pPr>
      <w:r>
        <w:separator/>
      </w:r>
    </w:p>
  </w:endnote>
  <w:endnote w:type="continuationSeparator" w:id="0">
    <w:p w14:paraId="5E6E7FBB" w14:textId="77777777" w:rsidR="001E114C" w:rsidRDefault="001E114C" w:rsidP="001E1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8508" w14:textId="77777777" w:rsidR="001E114C" w:rsidRDefault="001E114C" w:rsidP="001E114C">
      <w:pPr>
        <w:spacing w:after="0" w:line="240" w:lineRule="auto"/>
      </w:pPr>
      <w:r>
        <w:separator/>
      </w:r>
    </w:p>
  </w:footnote>
  <w:footnote w:type="continuationSeparator" w:id="0">
    <w:p w14:paraId="1D011FE4" w14:textId="77777777" w:rsidR="001E114C" w:rsidRDefault="001E114C" w:rsidP="001E1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44F" w14:textId="6781013B" w:rsidR="001E114C" w:rsidRPr="001E114C" w:rsidRDefault="001E114C" w:rsidP="001E114C">
    <w:pPr>
      <w:pStyle w:val="Encabezado"/>
      <w:jc w:val="both"/>
      <w:rPr>
        <w:rFonts w:ascii="Palatino Linotype" w:hAnsi="Palatino Linotype"/>
        <w:i/>
        <w:iCs/>
      </w:rPr>
    </w:pPr>
    <w:r w:rsidRPr="001E114C">
      <w:rPr>
        <w:rFonts w:ascii="Palatino Linotype" w:hAnsi="Palatino Linotype"/>
        <w:b/>
        <w:bCs/>
        <w:i/>
        <w:iCs/>
      </w:rPr>
      <w:t>TEMA 6 -</w:t>
    </w:r>
    <w:r w:rsidRPr="001E114C">
      <w:rPr>
        <w:rFonts w:ascii="Palatino Linotype" w:hAnsi="Palatino Linotype"/>
        <w:i/>
        <w:iCs/>
      </w:rPr>
      <w:t xml:space="preserve"> La política fiscal. Disciplina fiscal y financiación del déficit público. Sostenibilidad del déficit público.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F4D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61575BE"/>
    <w:multiLevelType w:val="multilevel"/>
    <w:tmpl w:val="85E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4D53"/>
    <w:multiLevelType w:val="multilevel"/>
    <w:tmpl w:val="6BE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28B2"/>
    <w:multiLevelType w:val="hybridMultilevel"/>
    <w:tmpl w:val="0382E6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383"/>
    <w:multiLevelType w:val="hybridMultilevel"/>
    <w:tmpl w:val="C54C68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81CEE"/>
    <w:multiLevelType w:val="multilevel"/>
    <w:tmpl w:val="F7B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2987"/>
    <w:multiLevelType w:val="hybridMultilevel"/>
    <w:tmpl w:val="D8E68402"/>
    <w:lvl w:ilvl="0" w:tplc="34D4FA8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90" w:hanging="360"/>
      </w:pPr>
    </w:lvl>
    <w:lvl w:ilvl="2" w:tplc="0C0A001B" w:tentative="1">
      <w:start w:val="1"/>
      <w:numFmt w:val="lowerRoman"/>
      <w:lvlText w:val="%3."/>
      <w:lvlJc w:val="right"/>
      <w:pPr>
        <w:ind w:left="2010" w:hanging="180"/>
      </w:pPr>
    </w:lvl>
    <w:lvl w:ilvl="3" w:tplc="0C0A000F" w:tentative="1">
      <w:start w:val="1"/>
      <w:numFmt w:val="decimal"/>
      <w:lvlText w:val="%4."/>
      <w:lvlJc w:val="left"/>
      <w:pPr>
        <w:ind w:left="2730" w:hanging="360"/>
      </w:pPr>
    </w:lvl>
    <w:lvl w:ilvl="4" w:tplc="0C0A0019" w:tentative="1">
      <w:start w:val="1"/>
      <w:numFmt w:val="lowerLetter"/>
      <w:lvlText w:val="%5."/>
      <w:lvlJc w:val="left"/>
      <w:pPr>
        <w:ind w:left="3450" w:hanging="360"/>
      </w:pPr>
    </w:lvl>
    <w:lvl w:ilvl="5" w:tplc="0C0A001B" w:tentative="1">
      <w:start w:val="1"/>
      <w:numFmt w:val="lowerRoman"/>
      <w:lvlText w:val="%6."/>
      <w:lvlJc w:val="right"/>
      <w:pPr>
        <w:ind w:left="4170" w:hanging="180"/>
      </w:pPr>
    </w:lvl>
    <w:lvl w:ilvl="6" w:tplc="0C0A000F" w:tentative="1">
      <w:start w:val="1"/>
      <w:numFmt w:val="decimal"/>
      <w:lvlText w:val="%7."/>
      <w:lvlJc w:val="left"/>
      <w:pPr>
        <w:ind w:left="4890" w:hanging="360"/>
      </w:pPr>
    </w:lvl>
    <w:lvl w:ilvl="7" w:tplc="0C0A0019" w:tentative="1">
      <w:start w:val="1"/>
      <w:numFmt w:val="lowerLetter"/>
      <w:lvlText w:val="%8."/>
      <w:lvlJc w:val="left"/>
      <w:pPr>
        <w:ind w:left="5610" w:hanging="360"/>
      </w:pPr>
    </w:lvl>
    <w:lvl w:ilvl="8" w:tplc="0C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7" w15:restartNumberingAfterBreak="0">
    <w:nsid w:val="1BBF21D9"/>
    <w:multiLevelType w:val="hybridMultilevel"/>
    <w:tmpl w:val="876A83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DA4415F"/>
    <w:multiLevelType w:val="hybridMultilevel"/>
    <w:tmpl w:val="4E02F2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97C14"/>
    <w:multiLevelType w:val="multilevel"/>
    <w:tmpl w:val="AC5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36DE"/>
    <w:multiLevelType w:val="hybridMultilevel"/>
    <w:tmpl w:val="3486704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AC72D6"/>
    <w:multiLevelType w:val="hybridMultilevel"/>
    <w:tmpl w:val="7CFC59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630D6"/>
    <w:multiLevelType w:val="multilevel"/>
    <w:tmpl w:val="5CA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D2933"/>
    <w:multiLevelType w:val="hybridMultilevel"/>
    <w:tmpl w:val="6F36FD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41467"/>
    <w:multiLevelType w:val="multilevel"/>
    <w:tmpl w:val="D17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13E14"/>
    <w:multiLevelType w:val="hybridMultilevel"/>
    <w:tmpl w:val="850C86C6"/>
    <w:lvl w:ilvl="0" w:tplc="34D4FA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35437689"/>
    <w:multiLevelType w:val="hybridMultilevel"/>
    <w:tmpl w:val="6C4AE3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06D06"/>
    <w:multiLevelType w:val="hybridMultilevel"/>
    <w:tmpl w:val="91D044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72F56"/>
    <w:multiLevelType w:val="hybridMultilevel"/>
    <w:tmpl w:val="F178289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B420F3C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3FE62161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3332F53"/>
    <w:multiLevelType w:val="hybridMultilevel"/>
    <w:tmpl w:val="CCE29930"/>
    <w:lvl w:ilvl="0" w:tplc="34D4FA8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90" w:hanging="360"/>
      </w:pPr>
    </w:lvl>
    <w:lvl w:ilvl="2" w:tplc="0C0A001B" w:tentative="1">
      <w:start w:val="1"/>
      <w:numFmt w:val="lowerRoman"/>
      <w:lvlText w:val="%3."/>
      <w:lvlJc w:val="right"/>
      <w:pPr>
        <w:ind w:left="2010" w:hanging="180"/>
      </w:pPr>
    </w:lvl>
    <w:lvl w:ilvl="3" w:tplc="0C0A000F" w:tentative="1">
      <w:start w:val="1"/>
      <w:numFmt w:val="decimal"/>
      <w:lvlText w:val="%4."/>
      <w:lvlJc w:val="left"/>
      <w:pPr>
        <w:ind w:left="2730" w:hanging="360"/>
      </w:pPr>
    </w:lvl>
    <w:lvl w:ilvl="4" w:tplc="0C0A0019" w:tentative="1">
      <w:start w:val="1"/>
      <w:numFmt w:val="lowerLetter"/>
      <w:lvlText w:val="%5."/>
      <w:lvlJc w:val="left"/>
      <w:pPr>
        <w:ind w:left="3450" w:hanging="360"/>
      </w:pPr>
    </w:lvl>
    <w:lvl w:ilvl="5" w:tplc="0C0A001B" w:tentative="1">
      <w:start w:val="1"/>
      <w:numFmt w:val="lowerRoman"/>
      <w:lvlText w:val="%6."/>
      <w:lvlJc w:val="right"/>
      <w:pPr>
        <w:ind w:left="4170" w:hanging="180"/>
      </w:pPr>
    </w:lvl>
    <w:lvl w:ilvl="6" w:tplc="0C0A000F" w:tentative="1">
      <w:start w:val="1"/>
      <w:numFmt w:val="decimal"/>
      <w:lvlText w:val="%7."/>
      <w:lvlJc w:val="left"/>
      <w:pPr>
        <w:ind w:left="4890" w:hanging="360"/>
      </w:pPr>
    </w:lvl>
    <w:lvl w:ilvl="7" w:tplc="0C0A0019" w:tentative="1">
      <w:start w:val="1"/>
      <w:numFmt w:val="lowerLetter"/>
      <w:lvlText w:val="%8."/>
      <w:lvlJc w:val="left"/>
      <w:pPr>
        <w:ind w:left="5610" w:hanging="360"/>
      </w:pPr>
    </w:lvl>
    <w:lvl w:ilvl="8" w:tplc="0C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 w15:restartNumberingAfterBreak="0">
    <w:nsid w:val="444D7024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4A377708"/>
    <w:multiLevelType w:val="hybridMultilevel"/>
    <w:tmpl w:val="9B98BD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565A5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13F2FD3"/>
    <w:multiLevelType w:val="hybridMultilevel"/>
    <w:tmpl w:val="22D6F1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B5709"/>
    <w:multiLevelType w:val="multilevel"/>
    <w:tmpl w:val="553C7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56EC655F"/>
    <w:multiLevelType w:val="multilevel"/>
    <w:tmpl w:val="9C0298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581B4A6B"/>
    <w:multiLevelType w:val="multilevel"/>
    <w:tmpl w:val="5CD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53766"/>
    <w:multiLevelType w:val="hybridMultilevel"/>
    <w:tmpl w:val="FC4A47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161B8"/>
    <w:multiLevelType w:val="hybridMultilevel"/>
    <w:tmpl w:val="272C3434"/>
    <w:lvl w:ilvl="0" w:tplc="0C0A000F">
      <w:start w:val="1"/>
      <w:numFmt w:val="decimal"/>
      <w:lvlText w:val="%1."/>
      <w:lvlJc w:val="left"/>
      <w:pPr>
        <w:ind w:left="930" w:hanging="360"/>
      </w:p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1" w15:restartNumberingAfterBreak="0">
    <w:nsid w:val="63741DBF"/>
    <w:multiLevelType w:val="hybridMultilevel"/>
    <w:tmpl w:val="DA34B754"/>
    <w:lvl w:ilvl="0" w:tplc="34D4FA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2" w15:restartNumberingAfterBreak="0">
    <w:nsid w:val="64F54CAC"/>
    <w:multiLevelType w:val="multilevel"/>
    <w:tmpl w:val="F75E7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3" w15:restartNumberingAfterBreak="0">
    <w:nsid w:val="688A4DF3"/>
    <w:multiLevelType w:val="multilevel"/>
    <w:tmpl w:val="57B2DA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693E4364"/>
    <w:multiLevelType w:val="multilevel"/>
    <w:tmpl w:val="341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B485F"/>
    <w:multiLevelType w:val="multilevel"/>
    <w:tmpl w:val="761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B05B2"/>
    <w:multiLevelType w:val="hybridMultilevel"/>
    <w:tmpl w:val="7E5AA4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1D340D"/>
    <w:multiLevelType w:val="hybridMultilevel"/>
    <w:tmpl w:val="4858E26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2F328C"/>
    <w:multiLevelType w:val="hybridMultilevel"/>
    <w:tmpl w:val="BFA804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A120B7"/>
    <w:multiLevelType w:val="multilevel"/>
    <w:tmpl w:val="71F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E5BCC"/>
    <w:multiLevelType w:val="hybridMultilevel"/>
    <w:tmpl w:val="516606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74676">
    <w:abstractNumId w:val="14"/>
  </w:num>
  <w:num w:numId="2" w16cid:durableId="1554928545">
    <w:abstractNumId w:val="5"/>
  </w:num>
  <w:num w:numId="3" w16cid:durableId="2145268719">
    <w:abstractNumId w:val="2"/>
  </w:num>
  <w:num w:numId="4" w16cid:durableId="1845515015">
    <w:abstractNumId w:val="9"/>
  </w:num>
  <w:num w:numId="5" w16cid:durableId="1879320615">
    <w:abstractNumId w:val="35"/>
  </w:num>
  <w:num w:numId="6" w16cid:durableId="175114973">
    <w:abstractNumId w:val="28"/>
  </w:num>
  <w:num w:numId="7" w16cid:durableId="181863253">
    <w:abstractNumId w:val="34"/>
  </w:num>
  <w:num w:numId="8" w16cid:durableId="1736663787">
    <w:abstractNumId w:val="1"/>
  </w:num>
  <w:num w:numId="9" w16cid:durableId="604850390">
    <w:abstractNumId w:val="12"/>
  </w:num>
  <w:num w:numId="10" w16cid:durableId="1839345170">
    <w:abstractNumId w:val="39"/>
  </w:num>
  <w:num w:numId="11" w16cid:durableId="1655792943">
    <w:abstractNumId w:val="26"/>
  </w:num>
  <w:num w:numId="12" w16cid:durableId="512573810">
    <w:abstractNumId w:val="32"/>
  </w:num>
  <w:num w:numId="13" w16cid:durableId="1103575071">
    <w:abstractNumId w:val="27"/>
  </w:num>
  <w:num w:numId="14" w16cid:durableId="1032999732">
    <w:abstractNumId w:val="24"/>
  </w:num>
  <w:num w:numId="15" w16cid:durableId="249973898">
    <w:abstractNumId w:val="0"/>
  </w:num>
  <w:num w:numId="16" w16cid:durableId="874345338">
    <w:abstractNumId w:val="33"/>
  </w:num>
  <w:num w:numId="17" w16cid:durableId="1142621408">
    <w:abstractNumId w:val="20"/>
  </w:num>
  <w:num w:numId="18" w16cid:durableId="1391348689">
    <w:abstractNumId w:val="22"/>
  </w:num>
  <w:num w:numId="19" w16cid:durableId="1009454024">
    <w:abstractNumId w:val="19"/>
  </w:num>
  <w:num w:numId="20" w16cid:durableId="1033773762">
    <w:abstractNumId w:val="8"/>
  </w:num>
  <w:num w:numId="21" w16cid:durableId="1200164537">
    <w:abstractNumId w:val="25"/>
  </w:num>
  <w:num w:numId="22" w16cid:durableId="718287781">
    <w:abstractNumId w:val="18"/>
  </w:num>
  <w:num w:numId="23" w16cid:durableId="1158497354">
    <w:abstractNumId w:val="3"/>
  </w:num>
  <w:num w:numId="24" w16cid:durableId="1267884469">
    <w:abstractNumId w:val="40"/>
  </w:num>
  <w:num w:numId="25" w16cid:durableId="171339339">
    <w:abstractNumId w:val="4"/>
  </w:num>
  <w:num w:numId="26" w16cid:durableId="760027281">
    <w:abstractNumId w:val="10"/>
  </w:num>
  <w:num w:numId="27" w16cid:durableId="920716131">
    <w:abstractNumId w:val="7"/>
  </w:num>
  <w:num w:numId="28" w16cid:durableId="1188057038">
    <w:abstractNumId w:val="17"/>
  </w:num>
  <w:num w:numId="29" w16cid:durableId="1778526179">
    <w:abstractNumId w:val="36"/>
  </w:num>
  <w:num w:numId="30" w16cid:durableId="1826121637">
    <w:abstractNumId w:val="38"/>
  </w:num>
  <w:num w:numId="31" w16cid:durableId="1406680288">
    <w:abstractNumId w:val="13"/>
  </w:num>
  <w:num w:numId="32" w16cid:durableId="1878355090">
    <w:abstractNumId w:val="29"/>
  </w:num>
  <w:num w:numId="33" w16cid:durableId="1911771786">
    <w:abstractNumId w:val="11"/>
  </w:num>
  <w:num w:numId="34" w16cid:durableId="311834116">
    <w:abstractNumId w:val="37"/>
  </w:num>
  <w:num w:numId="35" w16cid:durableId="756252371">
    <w:abstractNumId w:val="16"/>
  </w:num>
  <w:num w:numId="36" w16cid:durableId="336352121">
    <w:abstractNumId w:val="21"/>
  </w:num>
  <w:num w:numId="37" w16cid:durableId="1626619345">
    <w:abstractNumId w:val="15"/>
  </w:num>
  <w:num w:numId="38" w16cid:durableId="993605414">
    <w:abstractNumId w:val="31"/>
  </w:num>
  <w:num w:numId="39" w16cid:durableId="59715832">
    <w:abstractNumId w:val="30"/>
  </w:num>
  <w:num w:numId="40" w16cid:durableId="209075782">
    <w:abstractNumId w:val="23"/>
  </w:num>
  <w:num w:numId="41" w16cid:durableId="705522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4C"/>
    <w:rsid w:val="001E114C"/>
    <w:rsid w:val="00206782"/>
    <w:rsid w:val="00354D70"/>
    <w:rsid w:val="0039205E"/>
    <w:rsid w:val="0043566C"/>
    <w:rsid w:val="005803BC"/>
    <w:rsid w:val="00634F1B"/>
    <w:rsid w:val="00661C27"/>
    <w:rsid w:val="008F30DD"/>
    <w:rsid w:val="009C007F"/>
    <w:rsid w:val="00A65383"/>
    <w:rsid w:val="00A8675C"/>
    <w:rsid w:val="00B97B41"/>
    <w:rsid w:val="00C12CFD"/>
    <w:rsid w:val="00C44691"/>
    <w:rsid w:val="00F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4754"/>
  <w15:chartTrackingRefBased/>
  <w15:docId w15:val="{8F56D15A-A985-4551-8285-2570AF98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E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14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E1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1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1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114C"/>
  </w:style>
  <w:style w:type="paragraph" w:styleId="Piedepgina">
    <w:name w:val="footer"/>
    <w:basedOn w:val="Normal"/>
    <w:link w:val="PiedepginaCar"/>
    <w:uiPriority w:val="99"/>
    <w:unhideWhenUsed/>
    <w:rsid w:val="001E1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983</Words>
  <Characters>5895</Characters>
  <Application>Microsoft Office Word</Application>
  <DocSecurity>0</DocSecurity>
  <Lines>143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2026-01-07T16:53:00Z</dcterms:created>
  <dcterms:modified xsi:type="dcterms:W3CDTF">2026-01-19T16:45:00Z</dcterms:modified>
</cp:coreProperties>
</file>