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59E3" w14:textId="77777777" w:rsidR="00CB4760" w:rsidRPr="0008260E" w:rsidRDefault="00CB4760" w:rsidP="0018210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8260E">
        <w:rPr>
          <w:rFonts w:ascii="Cambria" w:hAnsi="Cambria"/>
          <w:b/>
          <w:bCs/>
          <w:color w:val="auto"/>
          <w:sz w:val="28"/>
          <w:szCs w:val="28"/>
        </w:rPr>
        <w:t>1. Conceptos Fundamentales y Características</w:t>
      </w:r>
    </w:p>
    <w:p w14:paraId="53641E06" w14:textId="77777777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1.1. Contexto y Definición</w:t>
      </w:r>
    </w:p>
    <w:p w14:paraId="42E0ADBD" w14:textId="6D8C85BE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Origen:</w:t>
      </w:r>
      <w:r w:rsidRPr="0008260E">
        <w:rPr>
          <w:rFonts w:ascii="Cambria" w:hAnsi="Cambria"/>
        </w:rPr>
        <w:t xml:space="preserve"> Surge de la necesidad de los Estados-nación de mejorar su posición negociadora frente a otros bloques en un contexto de globalización y libre mercado.</w:t>
      </w:r>
    </w:p>
    <w:p w14:paraId="4075F22B" w14:textId="1915B946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Diferencia entre Cooperación e Integración:</w:t>
      </w:r>
    </w:p>
    <w:p w14:paraId="07D8328B" w14:textId="5F451D35" w:rsidR="00CB4760" w:rsidRPr="0008260E" w:rsidRDefault="00CB4760" w:rsidP="0018210F">
      <w:pPr>
        <w:pStyle w:val="Prrafodelista"/>
        <w:numPr>
          <w:ilvl w:val="0"/>
          <w:numId w:val="1"/>
        </w:numPr>
        <w:jc w:val="both"/>
        <w:rPr>
          <w:rFonts w:ascii="Cambria" w:hAnsi="Cambria"/>
        </w:rPr>
      </w:pPr>
      <w:r w:rsidRPr="0008260E">
        <w:rPr>
          <w:rFonts w:ascii="Cambria" w:hAnsi="Cambria"/>
          <w:u w:val="single"/>
        </w:rPr>
        <w:t>Cooperación</w:t>
      </w:r>
      <w:r w:rsidRPr="0008260E">
        <w:rPr>
          <w:rFonts w:ascii="Cambria" w:hAnsi="Cambria"/>
          <w:i/>
          <w:iCs/>
        </w:rPr>
        <w:t>:</w:t>
      </w:r>
      <w:r w:rsidRPr="0008260E">
        <w:rPr>
          <w:rFonts w:ascii="Cambria" w:hAnsi="Cambria"/>
        </w:rPr>
        <w:t xml:space="preserve"> Acciones para disminuir la discriminación (ej. acuerdos sobre políticas comerciales).</w:t>
      </w:r>
    </w:p>
    <w:p w14:paraId="0C17A696" w14:textId="075884A5" w:rsidR="00CB4760" w:rsidRPr="0008260E" w:rsidRDefault="00CB4760" w:rsidP="0018210F">
      <w:pPr>
        <w:pStyle w:val="Prrafodelista"/>
        <w:numPr>
          <w:ilvl w:val="0"/>
          <w:numId w:val="1"/>
        </w:numPr>
        <w:jc w:val="both"/>
        <w:rPr>
          <w:rFonts w:ascii="Cambria" w:hAnsi="Cambria"/>
        </w:rPr>
      </w:pPr>
      <w:r w:rsidRPr="0008260E">
        <w:rPr>
          <w:rFonts w:ascii="Cambria" w:hAnsi="Cambria"/>
          <w:u w:val="single"/>
        </w:rPr>
        <w:t>Integración</w:t>
      </w:r>
      <w:r w:rsidRPr="0008260E">
        <w:rPr>
          <w:rFonts w:ascii="Cambria" w:hAnsi="Cambria"/>
          <w:i/>
          <w:iCs/>
        </w:rPr>
        <w:t>:</w:t>
      </w:r>
      <w:r w:rsidRPr="0008260E">
        <w:rPr>
          <w:rFonts w:ascii="Cambria" w:hAnsi="Cambria"/>
        </w:rPr>
        <w:t xml:space="preserve"> Medidas para </w:t>
      </w:r>
      <w:r w:rsidRPr="0008260E">
        <w:rPr>
          <w:rFonts w:ascii="Cambria" w:hAnsi="Cambria"/>
          <w:u w:val="single"/>
        </w:rPr>
        <w:t xml:space="preserve">suprimir </w:t>
      </w:r>
      <w:r w:rsidRPr="0008260E">
        <w:rPr>
          <w:rFonts w:ascii="Cambria" w:hAnsi="Cambria"/>
        </w:rPr>
        <w:t>formas de discriminación (ej. eliminar barreras al comercio) y crear instituciones comunes.</w:t>
      </w:r>
    </w:p>
    <w:p w14:paraId="025E82CA" w14:textId="1E952608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Definición de Integración:</w:t>
      </w:r>
      <w:r w:rsidRPr="0008260E">
        <w:rPr>
          <w:rFonts w:ascii="Cambria" w:hAnsi="Cambria"/>
        </w:rPr>
        <w:t xml:space="preserve"> Proceso convergente, voluntario, gradual y progresivo entre dos o más Estados sobre un plan de acción común (económico, social, político).</w:t>
      </w:r>
    </w:p>
    <w:p w14:paraId="7ECC3EFE" w14:textId="69757C6A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Teoría Funcionalista:</w:t>
      </w:r>
      <w:r w:rsidRPr="0008260E">
        <w:rPr>
          <w:rFonts w:ascii="Cambria" w:hAnsi="Cambria"/>
        </w:rPr>
        <w:t xml:space="preserve"> Propone que la incapacidad del Estado moderno para satisfacer necesidades complejas lleva a crear organizaciones internacionales. Esto transfiere lealtades desde el Estado hacia organismos supranacionales, reduciendo conflictos nacionalistas.</w:t>
      </w:r>
    </w:p>
    <w:p w14:paraId="7C999EA4" w14:textId="77777777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1.2. Características del Proceso</w:t>
      </w:r>
    </w:p>
    <w:p w14:paraId="2C6800FA" w14:textId="6F213311" w:rsidR="00CB4760" w:rsidRPr="0008260E" w:rsidRDefault="00CB4760" w:rsidP="0018210F">
      <w:pPr>
        <w:pStyle w:val="Prrafodelista"/>
        <w:numPr>
          <w:ilvl w:val="0"/>
          <w:numId w:val="2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Sujetos:</w:t>
      </w:r>
      <w:r w:rsidRPr="0008260E">
        <w:rPr>
          <w:rFonts w:ascii="Cambria" w:hAnsi="Cambria"/>
        </w:rPr>
        <w:t xml:space="preserve"> Estados soberanos.</w:t>
      </w:r>
    </w:p>
    <w:p w14:paraId="2CFA32FD" w14:textId="0A8196FE" w:rsidR="00CB4760" w:rsidRPr="0008260E" w:rsidRDefault="00CB4760" w:rsidP="0018210F">
      <w:pPr>
        <w:pStyle w:val="Prrafodelista"/>
        <w:numPr>
          <w:ilvl w:val="0"/>
          <w:numId w:val="2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Voluntariedad:</w:t>
      </w:r>
      <w:r w:rsidRPr="0008260E">
        <w:rPr>
          <w:rFonts w:ascii="Cambria" w:hAnsi="Cambria"/>
        </w:rPr>
        <w:t xml:space="preserve"> Decisión deliberada de los Estados.</w:t>
      </w:r>
    </w:p>
    <w:p w14:paraId="1582E848" w14:textId="7392B59A" w:rsidR="00CB4760" w:rsidRPr="0008260E" w:rsidRDefault="00CB4760" w:rsidP="0018210F">
      <w:pPr>
        <w:pStyle w:val="Prrafodelista"/>
        <w:numPr>
          <w:ilvl w:val="0"/>
          <w:numId w:val="2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Gradualidad:</w:t>
      </w:r>
      <w:r w:rsidRPr="0008260E">
        <w:rPr>
          <w:rFonts w:ascii="Cambria" w:hAnsi="Cambria"/>
        </w:rPr>
        <w:t xml:space="preserve"> Se avanza por etapas.</w:t>
      </w:r>
    </w:p>
    <w:p w14:paraId="5A15D9DD" w14:textId="403A462F" w:rsidR="00CB4760" w:rsidRPr="0008260E" w:rsidRDefault="00CB4760" w:rsidP="0018210F">
      <w:pPr>
        <w:pStyle w:val="Prrafodelista"/>
        <w:numPr>
          <w:ilvl w:val="0"/>
          <w:numId w:val="2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Progresividad:</w:t>
      </w:r>
      <w:r w:rsidRPr="0008260E">
        <w:rPr>
          <w:rFonts w:ascii="Cambria" w:hAnsi="Cambria"/>
        </w:rPr>
        <w:t xml:space="preserve"> Las etapas son cada vez más profundas (de lo económico a lo político).</w:t>
      </w:r>
    </w:p>
    <w:p w14:paraId="0FF7018D" w14:textId="6241551B" w:rsidR="00CB4760" w:rsidRPr="0008260E" w:rsidRDefault="00CB4760" w:rsidP="0018210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8260E">
        <w:rPr>
          <w:rFonts w:ascii="Cambria" w:hAnsi="Cambria"/>
          <w:b/>
          <w:bCs/>
          <w:color w:val="auto"/>
          <w:sz w:val="28"/>
          <w:szCs w:val="28"/>
        </w:rPr>
        <w:t>2. Fases de la Integración Económica</w:t>
      </w:r>
    </w:p>
    <w:p w14:paraId="12033E84" w14:textId="77777777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</w:rPr>
        <w:t>El proceso avanza desde acuerdos superficiales hasta la integración política total.</w:t>
      </w:r>
    </w:p>
    <w:p w14:paraId="2181FB96" w14:textId="3C71068B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2.1. Acuerdo Preferencial</w:t>
      </w:r>
    </w:p>
    <w:p w14:paraId="129D74B9" w14:textId="7BAB3F88" w:rsidR="00CB4760" w:rsidRPr="0008260E" w:rsidRDefault="00CB4760" w:rsidP="0018210F">
      <w:pPr>
        <w:pStyle w:val="Prrafodelista"/>
        <w:numPr>
          <w:ilvl w:val="0"/>
          <w:numId w:val="4"/>
        </w:numPr>
        <w:jc w:val="both"/>
        <w:rPr>
          <w:rFonts w:ascii="Cambria" w:hAnsi="Cambria"/>
        </w:rPr>
      </w:pPr>
      <w:r w:rsidRPr="0008260E">
        <w:rPr>
          <w:rFonts w:ascii="Cambria" w:hAnsi="Cambria"/>
        </w:rPr>
        <w:t>Nivel más superficial. Se conceden rebajas arancelarias entre los firmantes sin extenderlas a TTPP.</w:t>
      </w:r>
    </w:p>
    <w:p w14:paraId="3D939EC5" w14:textId="37468D26" w:rsidR="00CB4760" w:rsidRPr="0008260E" w:rsidRDefault="00CB4760" w:rsidP="0018210F">
      <w:pPr>
        <w:pStyle w:val="Prrafodelista"/>
        <w:numPr>
          <w:ilvl w:val="0"/>
          <w:numId w:val="4"/>
        </w:numPr>
        <w:jc w:val="both"/>
        <w:rPr>
          <w:rFonts w:ascii="Cambria" w:hAnsi="Cambria"/>
        </w:rPr>
      </w:pPr>
      <w:r w:rsidRPr="0008260E">
        <w:rPr>
          <w:rFonts w:ascii="Cambria" w:hAnsi="Cambria"/>
        </w:rPr>
        <w:t>Requiere autorización de la OMC (excepción al principio de No-Discriminación), permitida generalmente para Países en Desarrollo (ej. Sistema de Preferencias Generalizadas).</w:t>
      </w:r>
    </w:p>
    <w:p w14:paraId="633EC2EE" w14:textId="203BB992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2.2. Zona de Libre Comercio</w:t>
      </w:r>
    </w:p>
    <w:p w14:paraId="79C91CB8" w14:textId="121C1695" w:rsidR="00CB4760" w:rsidRPr="0008260E" w:rsidRDefault="00CB4760" w:rsidP="0018210F">
      <w:pPr>
        <w:pStyle w:val="Prrafodelista"/>
        <w:numPr>
          <w:ilvl w:val="0"/>
          <w:numId w:val="6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Características:</w:t>
      </w:r>
      <w:r w:rsidRPr="0008260E">
        <w:rPr>
          <w:rFonts w:ascii="Cambria" w:hAnsi="Cambria"/>
        </w:rPr>
        <w:t xml:space="preserve"> Eliminación de aranceles y barreras entre los miembros, pero </w:t>
      </w:r>
      <w:r w:rsidRPr="0008260E">
        <w:rPr>
          <w:rFonts w:ascii="Cambria" w:hAnsi="Cambria"/>
          <w:u w:val="single"/>
        </w:rPr>
        <w:t>cada país mantiene su propio arancel frente a terceros</w:t>
      </w:r>
      <w:r w:rsidRPr="0008260E">
        <w:rPr>
          <w:rFonts w:ascii="Cambria" w:hAnsi="Cambria"/>
        </w:rPr>
        <w:t>.</w:t>
      </w:r>
    </w:p>
    <w:p w14:paraId="335FAD24" w14:textId="7E31A101" w:rsidR="00CB4760" w:rsidRPr="0008260E" w:rsidRDefault="00CB4760" w:rsidP="0018210F">
      <w:pPr>
        <w:pStyle w:val="Prrafodelista"/>
        <w:numPr>
          <w:ilvl w:val="0"/>
          <w:numId w:val="6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lastRenderedPageBreak/>
        <w:t>Reglas de Origen:</w:t>
      </w:r>
      <w:r w:rsidRPr="0008260E">
        <w:rPr>
          <w:rFonts w:ascii="Cambria" w:hAnsi="Cambria"/>
        </w:rPr>
        <w:t xml:space="preserve"> Elemento fundamental para evitar la triangulación (que productos externos entren por el país con menor arancel). Certifican qué mercancía es originaria de la zona.</w:t>
      </w:r>
    </w:p>
    <w:p w14:paraId="7881FFF0" w14:textId="59C2A6B8" w:rsidR="00CB4760" w:rsidRPr="0008260E" w:rsidRDefault="00CB4760" w:rsidP="0018210F">
      <w:pPr>
        <w:jc w:val="both"/>
        <w:rPr>
          <w:rFonts w:ascii="Cambria" w:hAnsi="Cambria"/>
        </w:rPr>
      </w:pPr>
      <w:r w:rsidRPr="00176104">
        <w:rPr>
          <w:rFonts w:ascii="Cambria" w:hAnsi="Cambria"/>
          <w:u w:val="single"/>
        </w:rPr>
        <w:t>Ejemplos</w:t>
      </w:r>
      <w:r w:rsidRPr="0008260E">
        <w:rPr>
          <w:rFonts w:ascii="Cambria" w:hAnsi="Cambria"/>
          <w:i/>
          <w:iCs/>
        </w:rPr>
        <w:t>:</w:t>
      </w:r>
      <w:r w:rsidRPr="0008260E">
        <w:rPr>
          <w:rFonts w:ascii="Cambria" w:hAnsi="Cambria"/>
        </w:rPr>
        <w:t xml:space="preserve"> NAFTA (ahora T-MEC), EFTA.</w:t>
      </w:r>
    </w:p>
    <w:p w14:paraId="2E448D6E" w14:textId="77777777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2.3. Unión Aduanera</w:t>
      </w:r>
    </w:p>
    <w:p w14:paraId="16F27687" w14:textId="5D9A4700" w:rsidR="00CB4760" w:rsidRPr="0008260E" w:rsidRDefault="00CB4760" w:rsidP="0018210F">
      <w:pPr>
        <w:pStyle w:val="Prrafodelista"/>
        <w:numPr>
          <w:ilvl w:val="0"/>
          <w:numId w:val="7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Características:</w:t>
      </w:r>
      <w:r w:rsidRPr="0008260E">
        <w:rPr>
          <w:rFonts w:ascii="Cambria" w:hAnsi="Cambria"/>
        </w:rPr>
        <w:t xml:space="preserve"> Libre comercio interno + </w:t>
      </w:r>
      <w:r w:rsidRPr="0008260E">
        <w:rPr>
          <w:rFonts w:ascii="Cambria" w:hAnsi="Cambria"/>
          <w:u w:val="single"/>
        </w:rPr>
        <w:t>Arancel Externo Común (AEC)</w:t>
      </w:r>
      <w:r w:rsidRPr="0008260E">
        <w:rPr>
          <w:rFonts w:ascii="Cambria" w:hAnsi="Cambria"/>
        </w:rPr>
        <w:t xml:space="preserve"> frente a terceros.</w:t>
      </w:r>
    </w:p>
    <w:p w14:paraId="6EB9CA0B" w14:textId="39B5D8D9" w:rsidR="00CB4760" w:rsidRPr="0008260E" w:rsidRDefault="00CB4760" w:rsidP="0018210F">
      <w:pPr>
        <w:pStyle w:val="Prrafodelista"/>
        <w:numPr>
          <w:ilvl w:val="0"/>
          <w:numId w:val="7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Efecto:</w:t>
      </w:r>
      <w:r w:rsidRPr="0008260E">
        <w:rPr>
          <w:rFonts w:ascii="Cambria" w:hAnsi="Cambria"/>
        </w:rPr>
        <w:t xml:space="preserve"> Se eliminan las reglas de origen (libre circulación real) y se negocia como bloque frente al exterior.</w:t>
      </w:r>
    </w:p>
    <w:p w14:paraId="68890041" w14:textId="3A55CDD9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  <w:u w:val="single"/>
        </w:rPr>
        <w:t>Requisitos</w:t>
      </w:r>
      <w:r w:rsidRPr="0008260E">
        <w:rPr>
          <w:rFonts w:ascii="Cambria" w:hAnsi="Cambria"/>
          <w:i/>
          <w:iCs/>
        </w:rPr>
        <w:t>:</w:t>
      </w:r>
      <w:r w:rsidRPr="0008260E">
        <w:rPr>
          <w:rFonts w:ascii="Cambria" w:hAnsi="Cambria"/>
        </w:rPr>
        <w:t xml:space="preserve"> Eliminar tarifas internas, establecer tarifa uniforme externa y acordar distribución de ingresos aduaneros.</w:t>
      </w:r>
    </w:p>
    <w:p w14:paraId="6ADBABFB" w14:textId="77777777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2.4. Mercado Común</w:t>
      </w:r>
    </w:p>
    <w:p w14:paraId="0861AB62" w14:textId="287FDE39" w:rsidR="00CB4760" w:rsidRPr="0008260E" w:rsidRDefault="00CB4760" w:rsidP="0018210F">
      <w:pPr>
        <w:pStyle w:val="Prrafodelista"/>
        <w:numPr>
          <w:ilvl w:val="0"/>
          <w:numId w:val="8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Características:</w:t>
      </w:r>
      <w:r w:rsidRPr="0008260E">
        <w:rPr>
          <w:rFonts w:ascii="Cambria" w:hAnsi="Cambria"/>
        </w:rPr>
        <w:t xml:space="preserve"> Unión Aduanera + </w:t>
      </w:r>
      <w:r w:rsidRPr="0008260E">
        <w:rPr>
          <w:rFonts w:ascii="Cambria" w:hAnsi="Cambria"/>
          <w:b/>
          <w:bCs/>
        </w:rPr>
        <w:t>Libre circulación de factores productivos</w:t>
      </w:r>
      <w:r w:rsidRPr="0008260E">
        <w:rPr>
          <w:rFonts w:ascii="Cambria" w:hAnsi="Cambria"/>
        </w:rPr>
        <w:t xml:space="preserve"> (las 4 libertades: mercancías, servicios, capital y personas).</w:t>
      </w:r>
    </w:p>
    <w:p w14:paraId="25F870FF" w14:textId="491CEC4F" w:rsidR="00CB4760" w:rsidRPr="0008260E" w:rsidRDefault="00CB4760" w:rsidP="0018210F">
      <w:pPr>
        <w:pStyle w:val="Prrafodelista"/>
        <w:numPr>
          <w:ilvl w:val="0"/>
          <w:numId w:val="8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Implicaciones:</w:t>
      </w:r>
      <w:r w:rsidRPr="0008260E">
        <w:rPr>
          <w:rFonts w:ascii="Cambria" w:hAnsi="Cambria"/>
        </w:rPr>
        <w:t xml:space="preserve"> Requiere armonizar legislaciones y establecer reglas de competencia para asegurar el libre mercado.</w:t>
      </w:r>
    </w:p>
    <w:p w14:paraId="4713A86C" w14:textId="606A41C2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  <w:u w:val="single"/>
        </w:rPr>
        <w:t>Efecto laboral</w:t>
      </w:r>
      <w:r w:rsidRPr="0008260E">
        <w:rPr>
          <w:rFonts w:ascii="Cambria" w:hAnsi="Cambria"/>
          <w:i/>
          <w:iCs/>
        </w:rPr>
        <w:t>:</w:t>
      </w:r>
      <w:r w:rsidRPr="0008260E">
        <w:rPr>
          <w:rFonts w:ascii="Cambria" w:hAnsi="Cambria"/>
        </w:rPr>
        <w:t xml:space="preserve"> El factor trabajo se mueve hacia el país con mayor salario hasta que estos tienden a igualarse.</w:t>
      </w:r>
    </w:p>
    <w:p w14:paraId="58312381" w14:textId="77777777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2.5. Unión Económica y Monetaria</w:t>
      </w:r>
    </w:p>
    <w:p w14:paraId="702BF7C2" w14:textId="192F5DBE" w:rsidR="00CB4760" w:rsidRPr="0008260E" w:rsidRDefault="00CB4760" w:rsidP="0018210F">
      <w:pPr>
        <w:pStyle w:val="Prrafodelista"/>
        <w:numPr>
          <w:ilvl w:val="0"/>
          <w:numId w:val="9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Características:</w:t>
      </w:r>
      <w:r w:rsidRPr="0008260E">
        <w:rPr>
          <w:rFonts w:ascii="Cambria" w:hAnsi="Cambria"/>
        </w:rPr>
        <w:t xml:space="preserve"> Mercado Común + Armonización de </w:t>
      </w:r>
      <w:r w:rsidRPr="0008260E">
        <w:rPr>
          <w:rFonts w:ascii="Cambria" w:hAnsi="Cambria"/>
          <w:b/>
          <w:bCs/>
        </w:rPr>
        <w:t>Políticas Económicas</w:t>
      </w:r>
      <w:r w:rsidRPr="0008260E">
        <w:rPr>
          <w:rFonts w:ascii="Cambria" w:hAnsi="Cambria"/>
        </w:rPr>
        <w:t xml:space="preserve"> (fiscal, monetaria, industrial).</w:t>
      </w:r>
    </w:p>
    <w:p w14:paraId="61CCBCE5" w14:textId="2FD1FB55" w:rsidR="00CB4760" w:rsidRPr="0008260E" w:rsidRDefault="00CB4760" w:rsidP="0018210F">
      <w:pPr>
        <w:pStyle w:val="Prrafodelista"/>
        <w:numPr>
          <w:ilvl w:val="0"/>
          <w:numId w:val="9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Paso final:</w:t>
      </w:r>
      <w:r w:rsidRPr="0008260E">
        <w:rPr>
          <w:rFonts w:ascii="Cambria" w:hAnsi="Cambria"/>
        </w:rPr>
        <w:t xml:space="preserve"> Creación de una autoridad monetaria supranacional (Banco Central) y adopción de una </w:t>
      </w:r>
      <w:r w:rsidRPr="0008260E">
        <w:rPr>
          <w:rFonts w:ascii="Cambria" w:hAnsi="Cambria"/>
          <w:b/>
          <w:bCs/>
        </w:rPr>
        <w:t>moneda única</w:t>
      </w:r>
      <w:r w:rsidRPr="0008260E">
        <w:rPr>
          <w:rFonts w:ascii="Cambria" w:hAnsi="Cambria"/>
        </w:rPr>
        <w:t xml:space="preserve"> (ej. Eurozona).</w:t>
      </w:r>
    </w:p>
    <w:p w14:paraId="06777AEE" w14:textId="6B829D3F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2.6. Integración Económica Completa</w:t>
      </w:r>
    </w:p>
    <w:p w14:paraId="30B3B8DB" w14:textId="53348EA9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</w:rPr>
        <w:t>Máximo grado. Unificación de políticas más allá del mercado: política exterior, defensa y seguridad. Requiere una autoridad supranacional cuyas decisiones obliguen a los Estados miembros.</w:t>
      </w:r>
    </w:p>
    <w:p w14:paraId="7299194C" w14:textId="77777777" w:rsidR="00CB4760" w:rsidRPr="0008260E" w:rsidRDefault="00CB4760" w:rsidP="0018210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8260E">
        <w:rPr>
          <w:rFonts w:ascii="Cambria" w:hAnsi="Cambria"/>
          <w:b/>
          <w:bCs/>
          <w:color w:val="auto"/>
          <w:sz w:val="28"/>
          <w:szCs w:val="28"/>
        </w:rPr>
        <w:t>3. Efectos Económicos de la Integración</w:t>
      </w:r>
    </w:p>
    <w:p w14:paraId="38060C16" w14:textId="564327CA" w:rsidR="0008260E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 xml:space="preserve">3.1. Efectos Estáticos (Unión Aduanera) </w:t>
      </w:r>
    </w:p>
    <w:p w14:paraId="766C736A" w14:textId="2251D285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</w:rPr>
        <w:t>Al crear una Unión Aduanera, ocurren efectos simultáneos sobre el comercio y bienestar:</w:t>
      </w:r>
    </w:p>
    <w:p w14:paraId="39949E9F" w14:textId="36233E49" w:rsidR="00CB4760" w:rsidRPr="0008260E" w:rsidRDefault="00CB4760" w:rsidP="0018210F">
      <w:pPr>
        <w:pStyle w:val="Prrafodelista"/>
        <w:numPr>
          <w:ilvl w:val="0"/>
          <w:numId w:val="10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lastRenderedPageBreak/>
        <w:t>Creación de Comercio (Positivo):</w:t>
      </w:r>
      <w:r w:rsidRPr="0008260E">
        <w:rPr>
          <w:rFonts w:ascii="Cambria" w:hAnsi="Cambria"/>
        </w:rPr>
        <w:t xml:space="preserve"> Se sustituye producción nacional ineficiente por importaciones más baratas de un socio miembro (debido a la eliminación de aranceles).</w:t>
      </w:r>
    </w:p>
    <w:p w14:paraId="15961002" w14:textId="2BE4538B" w:rsidR="00CB4760" w:rsidRPr="0008260E" w:rsidRDefault="00CB4760" w:rsidP="0018210F">
      <w:pPr>
        <w:pStyle w:val="Prrafodelista"/>
        <w:numPr>
          <w:ilvl w:val="0"/>
          <w:numId w:val="10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Desviación de Comercio (Negativo):</w:t>
      </w:r>
      <w:r w:rsidRPr="0008260E">
        <w:rPr>
          <w:rFonts w:ascii="Cambria" w:hAnsi="Cambria"/>
        </w:rPr>
        <w:t xml:space="preserve"> Se sustituyen importaciones baratas de un tercer país (ahora gravado con el arancel común) por importaciones más caras de un socio miembro (exento de arancel).</w:t>
      </w:r>
    </w:p>
    <w:p w14:paraId="38F0D2D3" w14:textId="54C41808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  <w:u w:val="single"/>
        </w:rPr>
        <w:t>Conclusión</w:t>
      </w:r>
      <w:r w:rsidRPr="0008260E">
        <w:rPr>
          <w:rFonts w:ascii="Cambria" w:hAnsi="Cambria"/>
          <w:i/>
          <w:iCs/>
        </w:rPr>
        <w:t>:</w:t>
      </w:r>
      <w:r w:rsidRPr="0008260E">
        <w:rPr>
          <w:rFonts w:ascii="Cambria" w:hAnsi="Cambria"/>
        </w:rPr>
        <w:t xml:space="preserve"> La integración aumenta el bienestar si la creación de comercio supera a la desviación. Esto es más probable si la unión es grande y los aranceles previos eran altos.</w:t>
      </w:r>
    </w:p>
    <w:p w14:paraId="09D4C80A" w14:textId="77777777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3.2. Efectos Dinámicos (Largo Plazo)</w:t>
      </w:r>
    </w:p>
    <w:p w14:paraId="430AE3E0" w14:textId="6477325B" w:rsidR="00CB4760" w:rsidRPr="0008260E" w:rsidRDefault="00CB4760" w:rsidP="0018210F">
      <w:pPr>
        <w:pStyle w:val="Prrafodelista"/>
        <w:numPr>
          <w:ilvl w:val="0"/>
          <w:numId w:val="12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Economías de Escala:</w:t>
      </w:r>
      <w:r w:rsidRPr="0008260E">
        <w:rPr>
          <w:rFonts w:ascii="Cambria" w:hAnsi="Cambria"/>
        </w:rPr>
        <w:t xml:space="preserve"> La ampliación del mercado permite a las empresas aumentar producción y reducir costes medios.</w:t>
      </w:r>
    </w:p>
    <w:p w14:paraId="13D4E3B7" w14:textId="6AEEEBD5" w:rsidR="00CB4760" w:rsidRPr="0008260E" w:rsidRDefault="00CB4760" w:rsidP="0018210F">
      <w:pPr>
        <w:pStyle w:val="Prrafodelista"/>
        <w:numPr>
          <w:ilvl w:val="0"/>
          <w:numId w:val="12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Intensificación de la Competencia:</w:t>
      </w:r>
      <w:r w:rsidRPr="0008260E">
        <w:rPr>
          <w:rFonts w:ascii="Cambria" w:hAnsi="Cambria"/>
        </w:rPr>
        <w:t xml:space="preserve"> Reduce precios, fomenta la innovación y mejora la eficiencia empresarial al romperse los monopolios nacionales</w:t>
      </w:r>
      <w:r w:rsidR="0008260E" w:rsidRPr="0008260E">
        <w:rPr>
          <w:rFonts w:ascii="Cambria" w:hAnsi="Cambria"/>
        </w:rPr>
        <w:t>.</w:t>
      </w:r>
    </w:p>
    <w:p w14:paraId="6930A710" w14:textId="2E3B5B66" w:rsidR="00CB4760" w:rsidRPr="0008260E" w:rsidRDefault="00CB4760" w:rsidP="0018210F">
      <w:pPr>
        <w:pStyle w:val="Prrafodelista"/>
        <w:numPr>
          <w:ilvl w:val="0"/>
          <w:numId w:val="12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Comercio Intraindustrial:</w:t>
      </w:r>
      <w:r w:rsidRPr="0008260E">
        <w:rPr>
          <w:rFonts w:ascii="Cambria" w:hAnsi="Cambria"/>
        </w:rPr>
        <w:t xml:space="preserve"> Aumenta el intercambio de productos similares (diferenciados) dentro del mismo sector, típico de competencia imperfecta.</w:t>
      </w:r>
    </w:p>
    <w:p w14:paraId="47AA8694" w14:textId="3DB86EF6" w:rsidR="0008260E" w:rsidRPr="0008260E" w:rsidRDefault="0008260E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3.3</w:t>
      </w:r>
      <w:r w:rsidR="00CB4760" w:rsidRPr="0008260E">
        <w:rPr>
          <w:rFonts w:ascii="Cambria" w:hAnsi="Cambria"/>
          <w:b/>
          <w:bCs/>
          <w:color w:val="auto"/>
          <w:sz w:val="24"/>
          <w:szCs w:val="24"/>
        </w:rPr>
        <w:t xml:space="preserve">Efectos sobre el Crecimiento (Modelo Rivera-Romer) </w:t>
      </w:r>
    </w:p>
    <w:p w14:paraId="0A860AE0" w14:textId="7CB0B54D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</w:rPr>
        <w:t xml:space="preserve">La integración puede elevar la tasa de crecimiento permanente mediante el flujo de bienes e </w:t>
      </w:r>
      <w:r w:rsidRPr="0008260E">
        <w:rPr>
          <w:rFonts w:ascii="Cambria" w:hAnsi="Cambria"/>
          <w:u w:val="single"/>
        </w:rPr>
        <w:t>ideas:</w:t>
      </w:r>
    </w:p>
    <w:p w14:paraId="535BE2BB" w14:textId="29A907A9" w:rsidR="00CB4760" w:rsidRPr="0008260E" w:rsidRDefault="00CB4760" w:rsidP="0018210F">
      <w:pPr>
        <w:pStyle w:val="Prrafodelista"/>
        <w:numPr>
          <w:ilvl w:val="0"/>
          <w:numId w:val="14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Capital Humano e Ideas:</w:t>
      </w:r>
      <w:r w:rsidRPr="0008260E">
        <w:rPr>
          <w:rFonts w:ascii="Cambria" w:hAnsi="Cambria"/>
        </w:rPr>
        <w:t xml:space="preserve"> Si hay integración total (flujo de ideas/tecnología), aumenta la tasa de crecimiento al aprovechar rendimientos crecientes de I+</w:t>
      </w:r>
      <w:proofErr w:type="gramStart"/>
      <w:r w:rsidRPr="0008260E">
        <w:rPr>
          <w:rFonts w:ascii="Cambria" w:hAnsi="Cambria"/>
        </w:rPr>
        <w:t>D,.</w:t>
      </w:r>
      <w:proofErr w:type="gramEnd"/>
    </w:p>
    <w:p w14:paraId="0715F1FC" w14:textId="004995F1" w:rsidR="00CB4760" w:rsidRPr="0008260E" w:rsidRDefault="00CB4760" w:rsidP="0018210F">
      <w:pPr>
        <w:pStyle w:val="Prrafodelista"/>
        <w:numPr>
          <w:ilvl w:val="0"/>
          <w:numId w:val="14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Solo Bienes:</w:t>
      </w:r>
      <w:r w:rsidRPr="0008260E">
        <w:rPr>
          <w:rFonts w:ascii="Cambria" w:hAnsi="Cambria"/>
        </w:rPr>
        <w:t xml:space="preserve"> Si la integración es solo comercial, el efecto en el crecimiento es temporal (aumenta el output por </w:t>
      </w:r>
      <w:r w:rsidR="00176104" w:rsidRPr="0008260E">
        <w:rPr>
          <w:rFonts w:ascii="Cambria" w:hAnsi="Cambria"/>
        </w:rPr>
        <w:t>especialización,</w:t>
      </w:r>
      <w:r w:rsidRPr="0008260E">
        <w:rPr>
          <w:rFonts w:ascii="Cambria" w:hAnsi="Cambria"/>
        </w:rPr>
        <w:t xml:space="preserve"> pero no la tasa de innovación a largo plazo).</w:t>
      </w:r>
    </w:p>
    <w:p w14:paraId="0B9BD2B6" w14:textId="77777777" w:rsidR="00CB4760" w:rsidRPr="0008260E" w:rsidRDefault="00CB4760" w:rsidP="0018210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8260E">
        <w:rPr>
          <w:rFonts w:ascii="Cambria" w:hAnsi="Cambria"/>
          <w:b/>
          <w:bCs/>
          <w:color w:val="auto"/>
          <w:sz w:val="28"/>
          <w:szCs w:val="28"/>
        </w:rPr>
        <w:t>4. Principales Bloques Regionales</w:t>
      </w:r>
    </w:p>
    <w:p w14:paraId="73EF3774" w14:textId="78E11DF7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4.1. Unión Europea</w:t>
      </w:r>
    </w:p>
    <w:p w14:paraId="7DF6D2EA" w14:textId="77777777" w:rsidR="0008260E" w:rsidRPr="0008260E" w:rsidRDefault="00CB4760" w:rsidP="0018210F">
      <w:pPr>
        <w:pStyle w:val="Prrafodelista"/>
        <w:numPr>
          <w:ilvl w:val="0"/>
          <w:numId w:val="20"/>
        </w:numPr>
        <w:jc w:val="both"/>
        <w:rPr>
          <w:rFonts w:ascii="Cambria" w:hAnsi="Cambria"/>
        </w:rPr>
      </w:pPr>
      <w:r w:rsidRPr="0008260E">
        <w:rPr>
          <w:rFonts w:ascii="Cambria" w:hAnsi="Cambria"/>
        </w:rPr>
        <w:t>Proceso más avanzado del mundo. Mercado Común y Unión Monetaria (19 países). Posee institucionalidad supranacional.</w:t>
      </w:r>
    </w:p>
    <w:p w14:paraId="1F70D4EF" w14:textId="0138E005" w:rsidR="00CB4760" w:rsidRPr="0008260E" w:rsidRDefault="00CB4760" w:rsidP="0018210F">
      <w:pPr>
        <w:pStyle w:val="Prrafodelista"/>
        <w:numPr>
          <w:ilvl w:val="0"/>
          <w:numId w:val="20"/>
        </w:numPr>
        <w:jc w:val="both"/>
        <w:rPr>
          <w:rFonts w:ascii="Cambria" w:hAnsi="Cambria"/>
        </w:rPr>
      </w:pPr>
      <w:r w:rsidRPr="0008260E">
        <w:rPr>
          <w:rFonts w:ascii="Cambria" w:hAnsi="Cambria"/>
        </w:rPr>
        <w:t>Amplia red de acuerdos comerciales globales (CETA, Mercosur, Turquía, etc.).</w:t>
      </w:r>
    </w:p>
    <w:p w14:paraId="46A58CB8" w14:textId="251F13C8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4.2. América del Norte</w:t>
      </w:r>
    </w:p>
    <w:p w14:paraId="58145C03" w14:textId="0AF6DC64" w:rsidR="00CB4760" w:rsidRPr="0008260E" w:rsidRDefault="00CB4760" w:rsidP="0018210F">
      <w:pPr>
        <w:pStyle w:val="Prrafodelista"/>
        <w:numPr>
          <w:ilvl w:val="0"/>
          <w:numId w:val="19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NAFTA (1994):</w:t>
      </w:r>
      <w:r w:rsidRPr="0008260E">
        <w:rPr>
          <w:rFonts w:ascii="Cambria" w:hAnsi="Cambria"/>
        </w:rPr>
        <w:t xml:space="preserve"> Primer gran acuerdo entre desarrollados (</w:t>
      </w:r>
      <w:proofErr w:type="gramStart"/>
      <w:r w:rsidRPr="0008260E">
        <w:rPr>
          <w:rFonts w:ascii="Cambria" w:hAnsi="Cambria"/>
        </w:rPr>
        <w:t>EEUU</w:t>
      </w:r>
      <w:proofErr w:type="gramEnd"/>
      <w:r w:rsidRPr="0008260E">
        <w:rPr>
          <w:rFonts w:ascii="Cambria" w:hAnsi="Cambria"/>
        </w:rPr>
        <w:t>, Canadá) y un emergente (México).</w:t>
      </w:r>
    </w:p>
    <w:p w14:paraId="201AD1E2" w14:textId="7AF86C3E" w:rsidR="00CB4760" w:rsidRPr="0008260E" w:rsidRDefault="00CB4760" w:rsidP="0018210F">
      <w:pPr>
        <w:pStyle w:val="Prrafodelista"/>
        <w:numPr>
          <w:ilvl w:val="0"/>
          <w:numId w:val="19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T-MEC / USMCA (2020):</w:t>
      </w:r>
      <w:r w:rsidRPr="0008260E">
        <w:rPr>
          <w:rFonts w:ascii="Cambria" w:hAnsi="Cambria"/>
        </w:rPr>
        <w:t xml:space="preserve"> Actualización del NAFTA (NAFTA 2.0) impulsada por la administración Trump, ratificada en 2020.</w:t>
      </w:r>
    </w:p>
    <w:p w14:paraId="3FF28911" w14:textId="17109CC7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lastRenderedPageBreak/>
        <w:t>4.3. Asia</w:t>
      </w:r>
    </w:p>
    <w:p w14:paraId="56813355" w14:textId="6FC7BA79" w:rsidR="00CB4760" w:rsidRPr="0008260E" w:rsidRDefault="00CB4760" w:rsidP="0018210F">
      <w:pPr>
        <w:pStyle w:val="Prrafodelista"/>
        <w:numPr>
          <w:ilvl w:val="0"/>
          <w:numId w:val="18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ASEAN:</w:t>
      </w:r>
      <w:r w:rsidRPr="0008260E">
        <w:rPr>
          <w:rFonts w:ascii="Cambria" w:hAnsi="Cambria"/>
        </w:rPr>
        <w:t xml:space="preserve"> Asociación de 10 países del Sudeste Asiático. Zona de Libre Comercio desde 1992. Tercer socio comercial de la UE fuera de Europa.</w:t>
      </w:r>
    </w:p>
    <w:p w14:paraId="359B1BC5" w14:textId="0A1FEDBF" w:rsidR="00CB4760" w:rsidRPr="0008260E" w:rsidRDefault="00CB4760" w:rsidP="0018210F">
      <w:pPr>
        <w:pStyle w:val="Prrafodelista"/>
        <w:numPr>
          <w:ilvl w:val="0"/>
          <w:numId w:val="18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RCEP (2020):</w:t>
      </w:r>
      <w:r w:rsidRPr="0008260E">
        <w:rPr>
          <w:rFonts w:ascii="Cambria" w:hAnsi="Cambria"/>
        </w:rPr>
        <w:t xml:space="preserve"> Acuerdo masivo entre ASEAN + 5 socios (incluyendo </w:t>
      </w:r>
      <w:r w:rsidRPr="00176104">
        <w:rPr>
          <w:rFonts w:ascii="Cambria" w:hAnsi="Cambria"/>
        </w:rPr>
        <w:t>China</w:t>
      </w:r>
      <w:r w:rsidRPr="0008260E">
        <w:rPr>
          <w:rFonts w:ascii="Cambria" w:hAnsi="Cambria"/>
        </w:rPr>
        <w:t>, Japón, Corea, Australia). Es el primer tratado multilateral que incluye a China, desplazando el eje económico hacia Asia.</w:t>
      </w:r>
    </w:p>
    <w:p w14:paraId="1A8530E1" w14:textId="77777777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4.4. América Latina</w:t>
      </w:r>
    </w:p>
    <w:p w14:paraId="02B0F930" w14:textId="072542F0" w:rsidR="00CB4760" w:rsidRPr="0008260E" w:rsidRDefault="00CB4760" w:rsidP="0018210F">
      <w:pPr>
        <w:pStyle w:val="Prrafodelista"/>
        <w:numPr>
          <w:ilvl w:val="0"/>
          <w:numId w:val="22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MERCOSUR:</w:t>
      </w:r>
      <w:r w:rsidRPr="0008260E">
        <w:rPr>
          <w:rFonts w:ascii="Cambria" w:hAnsi="Cambria"/>
        </w:rPr>
        <w:t xml:space="preserve"> Unión Aduanera imperfecta entre Brasil, Argentina, Uruguay y Paraguay. Éxito relativo, aunque con crisis políticas (suspensión de Venezuela).</w:t>
      </w:r>
    </w:p>
    <w:p w14:paraId="5A546AEC" w14:textId="44D1BE1C" w:rsidR="00CB4760" w:rsidRPr="0008260E" w:rsidRDefault="00CB4760" w:rsidP="0018210F">
      <w:pPr>
        <w:pStyle w:val="Prrafodelista"/>
        <w:numPr>
          <w:ilvl w:val="0"/>
          <w:numId w:val="22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CAN (Comunidad Andina):</w:t>
      </w:r>
      <w:r w:rsidRPr="0008260E">
        <w:rPr>
          <w:rFonts w:ascii="Cambria" w:hAnsi="Cambria"/>
        </w:rPr>
        <w:t xml:space="preserve"> Perú, Colombia, Ecuador, Bolivia.</w:t>
      </w:r>
    </w:p>
    <w:p w14:paraId="7396BA52" w14:textId="60D8C199" w:rsidR="00CB4760" w:rsidRPr="0008260E" w:rsidRDefault="00CB4760" w:rsidP="0018210F">
      <w:pPr>
        <w:pStyle w:val="Prrafodelista"/>
        <w:numPr>
          <w:ilvl w:val="0"/>
          <w:numId w:val="22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ALADI:</w:t>
      </w:r>
      <w:r w:rsidRPr="0008260E">
        <w:rPr>
          <w:rFonts w:ascii="Cambria" w:hAnsi="Cambria"/>
        </w:rPr>
        <w:t xml:space="preserve"> Marco general para la integración latinoamericana.</w:t>
      </w:r>
    </w:p>
    <w:p w14:paraId="7876E3C8" w14:textId="73BBBA1A" w:rsidR="00CB4760" w:rsidRPr="0008260E" w:rsidRDefault="00CB4760" w:rsidP="0018210F">
      <w:pPr>
        <w:pStyle w:val="Prrafodelista"/>
        <w:numPr>
          <w:ilvl w:val="0"/>
          <w:numId w:val="22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MCCA:</w:t>
      </w:r>
      <w:r w:rsidRPr="0008260E">
        <w:rPr>
          <w:rFonts w:ascii="Cambria" w:hAnsi="Cambria"/>
        </w:rPr>
        <w:t xml:space="preserve"> Mercado Común Centroamericano.</w:t>
      </w:r>
    </w:p>
    <w:p w14:paraId="10B1B1E2" w14:textId="6B89B09C" w:rsidR="00CB4760" w:rsidRPr="0008260E" w:rsidRDefault="00CB4760" w:rsidP="0018210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8260E">
        <w:rPr>
          <w:rFonts w:ascii="Cambria" w:hAnsi="Cambria"/>
          <w:b/>
          <w:bCs/>
          <w:color w:val="auto"/>
          <w:sz w:val="28"/>
          <w:szCs w:val="28"/>
        </w:rPr>
        <w:t>5. Relaciones Transatlánticas</w:t>
      </w:r>
    </w:p>
    <w:p w14:paraId="49CC3EBD" w14:textId="77777777" w:rsidR="0008260E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5.1. El TTIP (Asociación Transatlántica de Comercio e Inversión)</w:t>
      </w:r>
    </w:p>
    <w:p w14:paraId="3D8B5389" w14:textId="1C4CCFCA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</w:rPr>
        <w:t>Intento de crear el mayor mercado libre del mundo (50% del PIB mundial).</w:t>
      </w:r>
    </w:p>
    <w:p w14:paraId="25107CFF" w14:textId="10E4D1CC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Objetivos ambiciosos:</w:t>
      </w:r>
    </w:p>
    <w:p w14:paraId="04980E65" w14:textId="49894DAF" w:rsidR="00CB4760" w:rsidRPr="0008260E" w:rsidRDefault="00CB4760" w:rsidP="0018210F">
      <w:pPr>
        <w:pStyle w:val="Prrafodelista"/>
        <w:numPr>
          <w:ilvl w:val="0"/>
          <w:numId w:val="24"/>
        </w:numPr>
        <w:jc w:val="both"/>
        <w:rPr>
          <w:rFonts w:ascii="Cambria" w:hAnsi="Cambria"/>
        </w:rPr>
      </w:pPr>
      <w:r w:rsidRPr="0008260E">
        <w:rPr>
          <w:rFonts w:ascii="Cambria" w:hAnsi="Cambria"/>
        </w:rPr>
        <w:t>Acceso a mercados (bienes, servicios, compras públicas).</w:t>
      </w:r>
    </w:p>
    <w:p w14:paraId="586CDE4E" w14:textId="6DD527DE" w:rsidR="00CB4760" w:rsidRPr="0008260E" w:rsidRDefault="00CB4760" w:rsidP="0018210F">
      <w:pPr>
        <w:pStyle w:val="Prrafodelista"/>
        <w:numPr>
          <w:ilvl w:val="0"/>
          <w:numId w:val="24"/>
        </w:numPr>
        <w:jc w:val="both"/>
        <w:rPr>
          <w:rFonts w:ascii="Cambria" w:hAnsi="Cambria"/>
        </w:rPr>
      </w:pPr>
      <w:r w:rsidRPr="0008260E">
        <w:rPr>
          <w:rFonts w:ascii="Cambria" w:hAnsi="Cambria"/>
        </w:rPr>
        <w:t>Aspectos regulatorios (coherencia normativa).</w:t>
      </w:r>
    </w:p>
    <w:p w14:paraId="63993737" w14:textId="697807EA" w:rsidR="00CB4760" w:rsidRPr="0008260E" w:rsidRDefault="00CB4760" w:rsidP="0018210F">
      <w:pPr>
        <w:pStyle w:val="Prrafodelista"/>
        <w:numPr>
          <w:ilvl w:val="0"/>
          <w:numId w:val="24"/>
        </w:numPr>
        <w:jc w:val="both"/>
        <w:rPr>
          <w:rFonts w:ascii="Cambria" w:hAnsi="Cambria"/>
        </w:rPr>
      </w:pPr>
      <w:r w:rsidRPr="0008260E">
        <w:rPr>
          <w:rFonts w:ascii="Cambria" w:hAnsi="Cambria"/>
        </w:rPr>
        <w:t>Reglas globales (propiedad intelectual, desarrollo sostenible).</w:t>
      </w:r>
    </w:p>
    <w:p w14:paraId="07E833DE" w14:textId="22F3CF35" w:rsidR="00CB4760" w:rsidRPr="0008260E" w:rsidRDefault="00CB4760" w:rsidP="0018210F">
      <w:p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Estado:</w:t>
      </w:r>
      <w:r w:rsidRPr="0008260E">
        <w:rPr>
          <w:rFonts w:ascii="Cambria" w:hAnsi="Cambria"/>
        </w:rPr>
        <w:t xml:space="preserve"> Negociaciones suspendidas en 2016 tras 15 rondas.</w:t>
      </w:r>
    </w:p>
    <w:p w14:paraId="721A7AED" w14:textId="0F48077C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5.2. Tensiones Comerciales (Trump)</w:t>
      </w:r>
    </w:p>
    <w:p w14:paraId="7CEAC789" w14:textId="68FE2281" w:rsidR="00CB4760" w:rsidRPr="0008260E" w:rsidRDefault="00CB4760" w:rsidP="0018210F">
      <w:pPr>
        <w:pStyle w:val="Prrafodelista"/>
        <w:numPr>
          <w:ilvl w:val="0"/>
          <w:numId w:val="23"/>
        </w:numPr>
        <w:jc w:val="both"/>
        <w:rPr>
          <w:rFonts w:ascii="Cambria" w:hAnsi="Cambria"/>
        </w:rPr>
      </w:pPr>
      <w:r w:rsidRPr="0008260E">
        <w:rPr>
          <w:rFonts w:ascii="Cambria" w:hAnsi="Cambria"/>
        </w:rPr>
        <w:t xml:space="preserve">Giro de </w:t>
      </w:r>
      <w:proofErr w:type="gramStart"/>
      <w:r w:rsidRPr="0008260E">
        <w:rPr>
          <w:rFonts w:ascii="Cambria" w:hAnsi="Cambria"/>
        </w:rPr>
        <w:t>EEUU</w:t>
      </w:r>
      <w:proofErr w:type="gramEnd"/>
      <w:r w:rsidRPr="0008260E">
        <w:rPr>
          <w:rFonts w:ascii="Cambria" w:hAnsi="Cambria"/>
        </w:rPr>
        <w:t xml:space="preserve"> hacia el proteccionismo y bilateralismo desde 2017.</w:t>
      </w:r>
    </w:p>
    <w:p w14:paraId="55F5D345" w14:textId="5EAF36C8" w:rsidR="00CB4760" w:rsidRPr="0008260E" w:rsidRDefault="00CB4760" w:rsidP="0018210F">
      <w:pPr>
        <w:pStyle w:val="Prrafodelista"/>
        <w:numPr>
          <w:ilvl w:val="0"/>
          <w:numId w:val="23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Guerra Comercial:</w:t>
      </w:r>
      <w:r w:rsidRPr="0008260E">
        <w:rPr>
          <w:rFonts w:ascii="Cambria" w:hAnsi="Cambria"/>
        </w:rPr>
        <w:t xml:space="preserve"> Imposición de aranceles al acero y aluminio europeos (2018) alegando seguridad nacional.</w:t>
      </w:r>
    </w:p>
    <w:p w14:paraId="52B6EBB0" w14:textId="7885B9F0" w:rsidR="00CB4760" w:rsidRPr="0008260E" w:rsidRDefault="00CB4760" w:rsidP="0018210F">
      <w:pPr>
        <w:pStyle w:val="Prrafodelista"/>
        <w:numPr>
          <w:ilvl w:val="0"/>
          <w:numId w:val="23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Disputa Airbus-Boeing:</w:t>
      </w:r>
      <w:r w:rsidRPr="0008260E">
        <w:rPr>
          <w:rFonts w:ascii="Cambria" w:hAnsi="Cambria"/>
        </w:rPr>
        <w:t xml:space="preserve"> La OMC declaró ilegales las ayudas a ambas compañías. </w:t>
      </w:r>
      <w:proofErr w:type="gramStart"/>
      <w:r w:rsidRPr="0008260E">
        <w:rPr>
          <w:rFonts w:ascii="Cambria" w:hAnsi="Cambria"/>
        </w:rPr>
        <w:t>EEUU</w:t>
      </w:r>
      <w:proofErr w:type="gramEnd"/>
      <w:r w:rsidRPr="0008260E">
        <w:rPr>
          <w:rFonts w:ascii="Cambria" w:hAnsi="Cambria"/>
        </w:rPr>
        <w:t xml:space="preserve"> impuso aranceles por 7.500 M.</w:t>
      </w:r>
    </w:p>
    <w:p w14:paraId="4E7C8ECF" w14:textId="05B4B5B5" w:rsidR="00CB4760" w:rsidRPr="0008260E" w:rsidRDefault="00CB4760" w:rsidP="0018210F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08260E">
        <w:rPr>
          <w:rFonts w:ascii="Cambria" w:hAnsi="Cambria"/>
          <w:b/>
          <w:bCs/>
          <w:color w:val="auto"/>
          <w:sz w:val="24"/>
          <w:szCs w:val="24"/>
        </w:rPr>
        <w:t>5.3. Nueva Agenda (Biden)</w:t>
      </w:r>
    </w:p>
    <w:p w14:paraId="1B7F8D2B" w14:textId="4A9BD898" w:rsidR="00CB4760" w:rsidRPr="0008260E" w:rsidRDefault="00CB4760" w:rsidP="0018210F">
      <w:pPr>
        <w:pStyle w:val="Prrafodelista"/>
        <w:numPr>
          <w:ilvl w:val="0"/>
          <w:numId w:val="26"/>
        </w:numPr>
        <w:jc w:val="both"/>
        <w:rPr>
          <w:rFonts w:ascii="Cambria" w:hAnsi="Cambria"/>
        </w:rPr>
      </w:pPr>
      <w:r w:rsidRPr="0008260E">
        <w:rPr>
          <w:rFonts w:ascii="Cambria" w:hAnsi="Cambria"/>
        </w:rPr>
        <w:t>Desde 2021, intento de renovar la asociación (Nueva agenda transatlántica).</w:t>
      </w:r>
    </w:p>
    <w:p w14:paraId="075768AA" w14:textId="62DEA234" w:rsidR="00CB4760" w:rsidRPr="0008260E" w:rsidRDefault="00CB4760" w:rsidP="0018210F">
      <w:pPr>
        <w:pStyle w:val="Prrafodelista"/>
        <w:numPr>
          <w:ilvl w:val="0"/>
          <w:numId w:val="26"/>
        </w:numPr>
        <w:jc w:val="both"/>
        <w:rPr>
          <w:rFonts w:ascii="Cambria" w:hAnsi="Cambria"/>
        </w:rPr>
      </w:pPr>
      <w:r w:rsidRPr="0008260E">
        <w:rPr>
          <w:rFonts w:ascii="Cambria" w:hAnsi="Cambria"/>
          <w:b/>
          <w:bCs/>
        </w:rPr>
        <w:t>Hitos recientes:</w:t>
      </w:r>
      <w:r w:rsidRPr="0008260E">
        <w:rPr>
          <w:rFonts w:ascii="Cambria" w:hAnsi="Cambria"/>
        </w:rPr>
        <w:t xml:space="preserve"> Suspensión de aranceles cruzados del caso Airbus-Boeing (por 5 años desde junio 2021) y compromiso de no financiar I+D que dañe a la otra parte.</w:t>
      </w:r>
    </w:p>
    <w:p w14:paraId="3F570485" w14:textId="20D87C4B" w:rsidR="00CB4760" w:rsidRPr="0008260E" w:rsidRDefault="00CB4760" w:rsidP="0018210F">
      <w:pPr>
        <w:pStyle w:val="Prrafodelista"/>
        <w:numPr>
          <w:ilvl w:val="0"/>
          <w:numId w:val="26"/>
        </w:numPr>
        <w:jc w:val="both"/>
        <w:rPr>
          <w:rFonts w:ascii="Cambria" w:hAnsi="Cambria"/>
        </w:rPr>
      </w:pPr>
      <w:r w:rsidRPr="0008260E">
        <w:rPr>
          <w:rFonts w:ascii="Cambria" w:hAnsi="Cambria"/>
        </w:rPr>
        <w:t>Enfoque en cooperación tecnológica, clima y defensa de la democracia frente al auge de China</w:t>
      </w:r>
    </w:p>
    <w:sectPr w:rsidR="00CB4760" w:rsidRPr="0008260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41C81" w14:textId="77777777" w:rsidR="00CB4760" w:rsidRDefault="00CB4760" w:rsidP="00CB4760">
      <w:pPr>
        <w:spacing w:after="0" w:line="240" w:lineRule="auto"/>
      </w:pPr>
      <w:r>
        <w:separator/>
      </w:r>
    </w:p>
  </w:endnote>
  <w:endnote w:type="continuationSeparator" w:id="0">
    <w:p w14:paraId="4758FC82" w14:textId="77777777" w:rsidR="00CB4760" w:rsidRDefault="00CB4760" w:rsidP="00CB4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B17D1" w14:textId="77777777" w:rsidR="00CB4760" w:rsidRDefault="00CB4760" w:rsidP="00CB4760">
      <w:pPr>
        <w:spacing w:after="0" w:line="240" w:lineRule="auto"/>
      </w:pPr>
      <w:r>
        <w:separator/>
      </w:r>
    </w:p>
  </w:footnote>
  <w:footnote w:type="continuationSeparator" w:id="0">
    <w:p w14:paraId="617914B3" w14:textId="77777777" w:rsidR="00CB4760" w:rsidRDefault="00CB4760" w:rsidP="00CB4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D014E" w14:textId="65A28E3B" w:rsidR="00CB4760" w:rsidRPr="00CB4760" w:rsidRDefault="00CB4760" w:rsidP="00CB4760">
    <w:pPr>
      <w:pStyle w:val="Encabezado"/>
      <w:jc w:val="both"/>
      <w:rPr>
        <w:rFonts w:ascii="Palatino Linotype" w:hAnsi="Palatino Linotype"/>
        <w:i/>
        <w:iCs/>
      </w:rPr>
    </w:pPr>
    <w:r w:rsidRPr="00CB4760">
      <w:rPr>
        <w:rFonts w:ascii="Palatino Linotype" w:hAnsi="Palatino Linotype"/>
        <w:b/>
        <w:bCs/>
        <w:i/>
        <w:iCs/>
      </w:rPr>
      <w:t>TEMA 9 –</w:t>
    </w:r>
    <w:r w:rsidRPr="00CB4760">
      <w:rPr>
        <w:rFonts w:ascii="Palatino Linotype" w:hAnsi="Palatino Linotype"/>
        <w:i/>
        <w:iCs/>
      </w:rPr>
      <w:t xml:space="preserve"> La i</w:t>
    </w:r>
    <w:r w:rsidRPr="00CB4760">
      <w:rPr>
        <w:rFonts w:ascii="Palatino Linotype" w:hAnsi="Palatino Linotype"/>
        <w:i/>
        <w:iCs/>
      </w:rPr>
      <w:t>ntegración económica regional. El regionalismo de la economía internacional.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73F3"/>
    <w:multiLevelType w:val="hybridMultilevel"/>
    <w:tmpl w:val="A7C6D908"/>
    <w:lvl w:ilvl="0" w:tplc="0C0A000F">
      <w:start w:val="1"/>
      <w:numFmt w:val="decimal"/>
      <w:lvlText w:val="%1."/>
      <w:lvlJc w:val="left"/>
      <w:pPr>
        <w:ind w:left="918" w:hanging="360"/>
      </w:pPr>
    </w:lvl>
    <w:lvl w:ilvl="1" w:tplc="0C0A0019" w:tentative="1">
      <w:start w:val="1"/>
      <w:numFmt w:val="lowerLetter"/>
      <w:lvlText w:val="%2."/>
      <w:lvlJc w:val="left"/>
      <w:pPr>
        <w:ind w:left="1638" w:hanging="360"/>
      </w:pPr>
    </w:lvl>
    <w:lvl w:ilvl="2" w:tplc="0C0A001B" w:tentative="1">
      <w:start w:val="1"/>
      <w:numFmt w:val="lowerRoman"/>
      <w:lvlText w:val="%3."/>
      <w:lvlJc w:val="right"/>
      <w:pPr>
        <w:ind w:left="2358" w:hanging="180"/>
      </w:pPr>
    </w:lvl>
    <w:lvl w:ilvl="3" w:tplc="0C0A000F" w:tentative="1">
      <w:start w:val="1"/>
      <w:numFmt w:val="decimal"/>
      <w:lvlText w:val="%4."/>
      <w:lvlJc w:val="left"/>
      <w:pPr>
        <w:ind w:left="3078" w:hanging="360"/>
      </w:pPr>
    </w:lvl>
    <w:lvl w:ilvl="4" w:tplc="0C0A0019" w:tentative="1">
      <w:start w:val="1"/>
      <w:numFmt w:val="lowerLetter"/>
      <w:lvlText w:val="%5."/>
      <w:lvlJc w:val="left"/>
      <w:pPr>
        <w:ind w:left="3798" w:hanging="360"/>
      </w:pPr>
    </w:lvl>
    <w:lvl w:ilvl="5" w:tplc="0C0A001B" w:tentative="1">
      <w:start w:val="1"/>
      <w:numFmt w:val="lowerRoman"/>
      <w:lvlText w:val="%6."/>
      <w:lvlJc w:val="right"/>
      <w:pPr>
        <w:ind w:left="4518" w:hanging="180"/>
      </w:pPr>
    </w:lvl>
    <w:lvl w:ilvl="6" w:tplc="0C0A000F" w:tentative="1">
      <w:start w:val="1"/>
      <w:numFmt w:val="decimal"/>
      <w:lvlText w:val="%7."/>
      <w:lvlJc w:val="left"/>
      <w:pPr>
        <w:ind w:left="5238" w:hanging="360"/>
      </w:pPr>
    </w:lvl>
    <w:lvl w:ilvl="7" w:tplc="0C0A0019" w:tentative="1">
      <w:start w:val="1"/>
      <w:numFmt w:val="lowerLetter"/>
      <w:lvlText w:val="%8."/>
      <w:lvlJc w:val="left"/>
      <w:pPr>
        <w:ind w:left="5958" w:hanging="360"/>
      </w:pPr>
    </w:lvl>
    <w:lvl w:ilvl="8" w:tplc="0C0A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1" w15:restartNumberingAfterBreak="0">
    <w:nsid w:val="0CD02818"/>
    <w:multiLevelType w:val="hybridMultilevel"/>
    <w:tmpl w:val="D654067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3A0216"/>
    <w:multiLevelType w:val="hybridMultilevel"/>
    <w:tmpl w:val="27D2F9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25B12"/>
    <w:multiLevelType w:val="hybridMultilevel"/>
    <w:tmpl w:val="34E0D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16DB1"/>
    <w:multiLevelType w:val="hybridMultilevel"/>
    <w:tmpl w:val="4478060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6789886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DC6F35"/>
    <w:multiLevelType w:val="hybridMultilevel"/>
    <w:tmpl w:val="4CA0F9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C109C"/>
    <w:multiLevelType w:val="hybridMultilevel"/>
    <w:tmpl w:val="4BE627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22FF9"/>
    <w:multiLevelType w:val="hybridMultilevel"/>
    <w:tmpl w:val="3468F76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D06E07"/>
    <w:multiLevelType w:val="hybridMultilevel"/>
    <w:tmpl w:val="C258499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6F5A92"/>
    <w:multiLevelType w:val="hybridMultilevel"/>
    <w:tmpl w:val="D6F407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F3692D"/>
    <w:multiLevelType w:val="hybridMultilevel"/>
    <w:tmpl w:val="A5B0E8A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217B59"/>
    <w:multiLevelType w:val="hybridMultilevel"/>
    <w:tmpl w:val="C7709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855D0"/>
    <w:multiLevelType w:val="multilevel"/>
    <w:tmpl w:val="624093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3" w15:restartNumberingAfterBreak="0">
    <w:nsid w:val="3BB26152"/>
    <w:multiLevelType w:val="hybridMultilevel"/>
    <w:tmpl w:val="7F0ED8D4"/>
    <w:lvl w:ilvl="0" w:tplc="082CEBAA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27CF0"/>
    <w:multiLevelType w:val="hybridMultilevel"/>
    <w:tmpl w:val="9A54151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1C55D46"/>
    <w:multiLevelType w:val="hybridMultilevel"/>
    <w:tmpl w:val="91FACB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E1CEF"/>
    <w:multiLevelType w:val="hybridMultilevel"/>
    <w:tmpl w:val="871471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FC57A4"/>
    <w:multiLevelType w:val="hybridMultilevel"/>
    <w:tmpl w:val="D8142A0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E91580A"/>
    <w:multiLevelType w:val="hybridMultilevel"/>
    <w:tmpl w:val="63926FC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D54E59"/>
    <w:multiLevelType w:val="hybridMultilevel"/>
    <w:tmpl w:val="F86C0808"/>
    <w:lvl w:ilvl="0" w:tplc="58BA631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80" w:hanging="360"/>
      </w:pPr>
    </w:lvl>
    <w:lvl w:ilvl="2" w:tplc="0C0A001B" w:tentative="1">
      <w:start w:val="1"/>
      <w:numFmt w:val="lowerRoman"/>
      <w:lvlText w:val="%3."/>
      <w:lvlJc w:val="right"/>
      <w:pPr>
        <w:ind w:left="2000" w:hanging="180"/>
      </w:pPr>
    </w:lvl>
    <w:lvl w:ilvl="3" w:tplc="0C0A000F" w:tentative="1">
      <w:start w:val="1"/>
      <w:numFmt w:val="decimal"/>
      <w:lvlText w:val="%4."/>
      <w:lvlJc w:val="left"/>
      <w:pPr>
        <w:ind w:left="2720" w:hanging="360"/>
      </w:pPr>
    </w:lvl>
    <w:lvl w:ilvl="4" w:tplc="0C0A0019" w:tentative="1">
      <w:start w:val="1"/>
      <w:numFmt w:val="lowerLetter"/>
      <w:lvlText w:val="%5."/>
      <w:lvlJc w:val="left"/>
      <w:pPr>
        <w:ind w:left="3440" w:hanging="360"/>
      </w:pPr>
    </w:lvl>
    <w:lvl w:ilvl="5" w:tplc="0C0A001B" w:tentative="1">
      <w:start w:val="1"/>
      <w:numFmt w:val="lowerRoman"/>
      <w:lvlText w:val="%6."/>
      <w:lvlJc w:val="right"/>
      <w:pPr>
        <w:ind w:left="4160" w:hanging="180"/>
      </w:pPr>
    </w:lvl>
    <w:lvl w:ilvl="6" w:tplc="0C0A000F" w:tentative="1">
      <w:start w:val="1"/>
      <w:numFmt w:val="decimal"/>
      <w:lvlText w:val="%7."/>
      <w:lvlJc w:val="left"/>
      <w:pPr>
        <w:ind w:left="4880" w:hanging="360"/>
      </w:pPr>
    </w:lvl>
    <w:lvl w:ilvl="7" w:tplc="0C0A0019" w:tentative="1">
      <w:start w:val="1"/>
      <w:numFmt w:val="lowerLetter"/>
      <w:lvlText w:val="%8."/>
      <w:lvlJc w:val="left"/>
      <w:pPr>
        <w:ind w:left="5600" w:hanging="360"/>
      </w:pPr>
    </w:lvl>
    <w:lvl w:ilvl="8" w:tplc="0C0A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0" w15:restartNumberingAfterBreak="0">
    <w:nsid w:val="5AEF5814"/>
    <w:multiLevelType w:val="hybridMultilevel"/>
    <w:tmpl w:val="69B0F9B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776520"/>
    <w:multiLevelType w:val="hybridMultilevel"/>
    <w:tmpl w:val="A1467F5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7B486E"/>
    <w:multiLevelType w:val="hybridMultilevel"/>
    <w:tmpl w:val="DBAE566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4C424B"/>
    <w:multiLevelType w:val="hybridMultilevel"/>
    <w:tmpl w:val="E6783A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4210AB"/>
    <w:multiLevelType w:val="hybridMultilevel"/>
    <w:tmpl w:val="2FDEC72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3E27BC"/>
    <w:multiLevelType w:val="hybridMultilevel"/>
    <w:tmpl w:val="2ADED85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9371081">
    <w:abstractNumId w:val="0"/>
  </w:num>
  <w:num w:numId="2" w16cid:durableId="1606962592">
    <w:abstractNumId w:val="9"/>
  </w:num>
  <w:num w:numId="3" w16cid:durableId="913855084">
    <w:abstractNumId w:val="15"/>
  </w:num>
  <w:num w:numId="4" w16cid:durableId="488059577">
    <w:abstractNumId w:val="4"/>
  </w:num>
  <w:num w:numId="5" w16cid:durableId="116680130">
    <w:abstractNumId w:val="13"/>
  </w:num>
  <w:num w:numId="6" w16cid:durableId="307590939">
    <w:abstractNumId w:val="3"/>
  </w:num>
  <w:num w:numId="7" w16cid:durableId="1248225887">
    <w:abstractNumId w:val="25"/>
  </w:num>
  <w:num w:numId="8" w16cid:durableId="1420638627">
    <w:abstractNumId w:val="18"/>
  </w:num>
  <w:num w:numId="9" w16cid:durableId="1998267400">
    <w:abstractNumId w:val="24"/>
  </w:num>
  <w:num w:numId="10" w16cid:durableId="1325432767">
    <w:abstractNumId w:val="5"/>
  </w:num>
  <w:num w:numId="11" w16cid:durableId="1820145424">
    <w:abstractNumId w:val="6"/>
  </w:num>
  <w:num w:numId="12" w16cid:durableId="88700289">
    <w:abstractNumId w:val="12"/>
  </w:num>
  <w:num w:numId="13" w16cid:durableId="1066222373">
    <w:abstractNumId w:val="2"/>
  </w:num>
  <w:num w:numId="14" w16cid:durableId="2014648946">
    <w:abstractNumId w:val="17"/>
  </w:num>
  <w:num w:numId="15" w16cid:durableId="1846245835">
    <w:abstractNumId w:val="7"/>
  </w:num>
  <w:num w:numId="16" w16cid:durableId="140469889">
    <w:abstractNumId w:val="11"/>
  </w:num>
  <w:num w:numId="17" w16cid:durableId="1569144651">
    <w:abstractNumId w:val="22"/>
  </w:num>
  <w:num w:numId="18" w16cid:durableId="927465503">
    <w:abstractNumId w:val="10"/>
  </w:num>
  <w:num w:numId="19" w16cid:durableId="954795476">
    <w:abstractNumId w:val="20"/>
  </w:num>
  <w:num w:numId="20" w16cid:durableId="1488083993">
    <w:abstractNumId w:val="1"/>
  </w:num>
  <w:num w:numId="21" w16cid:durableId="1743067228">
    <w:abstractNumId w:val="16"/>
  </w:num>
  <w:num w:numId="22" w16cid:durableId="433281818">
    <w:abstractNumId w:val="14"/>
  </w:num>
  <w:num w:numId="23" w16cid:durableId="1247837088">
    <w:abstractNumId w:val="21"/>
  </w:num>
  <w:num w:numId="24" w16cid:durableId="1997565381">
    <w:abstractNumId w:val="23"/>
  </w:num>
  <w:num w:numId="25" w16cid:durableId="1903365675">
    <w:abstractNumId w:val="19"/>
  </w:num>
  <w:num w:numId="26" w16cid:durableId="13258895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60"/>
    <w:rsid w:val="0008260E"/>
    <w:rsid w:val="00176104"/>
    <w:rsid w:val="0018210F"/>
    <w:rsid w:val="005803BC"/>
    <w:rsid w:val="0063117D"/>
    <w:rsid w:val="00A65383"/>
    <w:rsid w:val="00A75A2B"/>
    <w:rsid w:val="00A8675C"/>
    <w:rsid w:val="00C12CFD"/>
    <w:rsid w:val="00CB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AEF866"/>
  <w15:chartTrackingRefBased/>
  <w15:docId w15:val="{89A1814D-EE94-468B-80CF-8481EE4B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4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4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4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4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47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47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4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7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4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476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B47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47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47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47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4760"/>
  </w:style>
  <w:style w:type="paragraph" w:styleId="Piedepgina">
    <w:name w:val="footer"/>
    <w:basedOn w:val="Normal"/>
    <w:link w:val="PiedepginaCar"/>
    <w:uiPriority w:val="99"/>
    <w:unhideWhenUsed/>
    <w:rsid w:val="00CB47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4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945</Words>
  <Characters>6108</Characters>
  <Application>Microsoft Office Word</Application>
  <DocSecurity>0</DocSecurity>
  <Lines>124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2026-01-19T19:51:00Z</dcterms:created>
  <dcterms:modified xsi:type="dcterms:W3CDTF">2026-01-19T20:16:00Z</dcterms:modified>
</cp:coreProperties>
</file>