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Industrialización años 60</w:t>
      </w:r>
      <w:r>
        <w:rPr>
          <w:rFonts w:ascii="Cambria" w:hAnsi="Cambria" w:cs="Cambria" w:eastAsia="Cambria"/>
          <w:sz w:val="22"/>
        </w:rPr>
        <w:t>: estructura sesgada a sectores tradicionales intensivos en mano de obra, dependencia energética y tecnológica, muchas pymes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Entrada en la CEE (1986)</w:t>
      </w:r>
      <w:r>
        <w:rPr>
          <w:rFonts w:ascii="Cambria" w:hAnsi="Cambria" w:cs="Cambria" w:eastAsia="Cambria"/>
          <w:sz w:val="22"/>
        </w:rPr>
        <w:t>: completar la reconversión industrial, adaptarse al Mercado Único y a la liberalización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Sector secundario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14,2 %</w:t>
      </w:r>
      <w:r>
        <w:rPr>
          <w:rFonts w:ascii="Cambria" w:hAnsi="Cambria" w:cs="Cambria" w:eastAsia="Cambria"/>
          <w:sz w:val="22"/>
        </w:rPr>
        <w:t xml:space="preserve"> del PIB, </w:t>
      </w:r>
      <w:r>
        <w:rPr>
          <w:rFonts w:ascii="Cambria" w:hAnsi="Cambria" w:cs="Cambria" w:eastAsia="Cambria"/>
          <w:b/>
          <w:sz w:val="22"/>
        </w:rPr>
        <w:t>15,6 %</w:t>
      </w:r>
      <w:r>
        <w:rPr>
          <w:rFonts w:ascii="Cambria" w:hAnsi="Cambria" w:cs="Cambria" w:eastAsia="Cambria"/>
          <w:sz w:val="22"/>
        </w:rPr>
        <w:t xml:space="preserve"> del VAB, </w:t>
      </w:r>
      <w:r>
        <w:rPr>
          <w:rFonts w:ascii="Cambria" w:hAnsi="Cambria" w:cs="Cambria" w:eastAsia="Cambria"/>
          <w:b/>
          <w:sz w:val="22"/>
        </w:rPr>
        <w:t>11,4 %</w:t>
      </w:r>
      <w:r>
        <w:rPr>
          <w:rFonts w:ascii="Cambria" w:hAnsi="Cambria" w:cs="Cambria" w:eastAsia="Cambria"/>
          <w:sz w:val="22"/>
        </w:rPr>
        <w:t xml:space="preserve"> del empleo (Informe Anual 2025, SGEAPA del MINTUR)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Industria manufacturera</w:t>
      </w:r>
      <w:r>
        <w:rPr>
          <w:rFonts w:ascii="Cambria" w:hAnsi="Cambria" w:cs="Cambria" w:eastAsia="Cambria"/>
          <w:sz w:val="22"/>
        </w:rPr>
        <w:t xml:space="preserve">: bienes intermedios o </w:t>
      </w:r>
      <w:r>
        <w:rPr>
          <w:rFonts w:ascii="Cambria" w:hAnsi="Cambria" w:cs="Cambria" w:eastAsia="Cambria"/>
          <w:b/>
          <w:sz w:val="22"/>
        </w:rPr>
        <w:t>semimanufacturas</w:t>
      </w:r>
      <w:r>
        <w:rPr>
          <w:rFonts w:ascii="Cambria" w:hAnsi="Cambria" w:cs="Cambria" w:eastAsia="Cambria"/>
          <w:sz w:val="22"/>
        </w:rPr>
        <w:t>, bienes de equipo, bienes de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Competitividad</w:t>
      </w:r>
      <w:r>
        <w:rPr>
          <w:rFonts w:ascii="Cambria" w:hAnsi="Cambria" w:cs="Cambria" w:eastAsia="Cambria"/>
          <w:sz w:val="22"/>
        </w:rPr>
        <w:t>: economías de escala, salvo metales no ferrosos (recursos naturales)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Tecnología</w:t>
      </w:r>
      <w:r>
        <w:rPr>
          <w:rFonts w:ascii="Cambria" w:hAnsi="Cambria" w:cs="Cambria" w:eastAsia="Cambria"/>
          <w:sz w:val="22"/>
        </w:rPr>
        <w:t>: siderurgia y no ferrosos medio-bajo, química medio-alta, farmacéutica puntera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1.1. Legislación general del sector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Competencia normativa: </w:t>
      </w:r>
      <w:r>
        <w:rPr>
          <w:rFonts w:ascii="Cambria" w:hAnsi="Cambria" w:cs="Cambria" w:eastAsia="Cambria"/>
          <w:b/>
          <w:sz w:val="22"/>
        </w:rPr>
        <w:t>SG de Calidad y Seguridad Industrial</w:t>
      </w:r>
      <w:r>
        <w:rPr>
          <w:rFonts w:ascii="Cambria" w:hAnsi="Cambria" w:cs="Cambria" w:eastAsia="Cambria"/>
          <w:sz w:val="22"/>
        </w:rPr>
        <w:t xml:space="preserve"> del MINTUR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21/1992, de Industria</w:t>
      </w:r>
      <w:r>
        <w:rPr>
          <w:rFonts w:ascii="Cambria" w:hAnsi="Cambria" w:cs="Cambria" w:eastAsia="Cambria"/>
          <w:sz w:val="22"/>
        </w:rPr>
        <w:t>: adapta la regulación a la UE y al Mercado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559/2010</w:t>
      </w:r>
      <w:r>
        <w:rPr>
          <w:rFonts w:ascii="Cambria" w:hAnsi="Cambria" w:cs="Cambria" w:eastAsia="Cambria"/>
          <w:sz w:val="22"/>
        </w:rPr>
        <w:t>: Registro Integrado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1072/2015</w:t>
      </w:r>
      <w:r>
        <w:rPr>
          <w:rFonts w:ascii="Cambria" w:hAnsi="Cambria" w:cs="Cambria" w:eastAsia="Cambria"/>
          <w:sz w:val="22"/>
        </w:rPr>
        <w:t xml:space="preserve">: Infraestructura para la Calidad y la Seguridad Industrial, reconoce a </w:t>
      </w: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 xml:space="preserve"> (normalización) y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 (acreditación)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1468/1988</w:t>
      </w:r>
      <w:r>
        <w:rPr>
          <w:rFonts w:ascii="Cambria" w:hAnsi="Cambria" w:cs="Cambria" w:eastAsia="Cambria"/>
          <w:sz w:val="22"/>
        </w:rPr>
        <w:t>: etiquetado, presentación y publicidad de productos industriales sin normativa específica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Etiquetado real, veraz y comprensible, con datos mínimos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incumplidora a terceros países: identificada por si va al mercado interior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1406/1989</w:t>
      </w:r>
      <w:r>
        <w:rPr>
          <w:rFonts w:ascii="Cambria" w:hAnsi="Cambria" w:cs="Cambria" w:eastAsia="Cambria"/>
          <w:sz w:val="22"/>
        </w:rPr>
        <w:t>: limita sustancias (benceno, amianto, dimetilfumarato, pentaclorofenol)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330/2008</w:t>
      </w:r>
      <w:r>
        <w:rPr>
          <w:rFonts w:ascii="Cambria" w:hAnsi="Cambria" w:cs="Cambria" w:eastAsia="Cambria"/>
          <w:sz w:val="22"/>
        </w:rPr>
        <w:t xml:space="preserve">: control de importaciones en seguridad a partir de </w:t>
      </w:r>
      <w:r>
        <w:rPr>
          <w:rFonts w:ascii="Cambria" w:hAnsi="Cambria" w:cs="Cambria" w:eastAsia="Cambria"/>
          <w:b/>
          <w:sz w:val="22"/>
        </w:rPr>
        <w:t>RAPEX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responsable del control previo al despacho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Lista en la 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: drones, puericultura, textil, calzado, juguetes, EPIs, pequeño material eléctrico, muebles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993/2022</w:t>
      </w:r>
      <w:r>
        <w:rPr>
          <w:rFonts w:ascii="Cambria" w:hAnsi="Cambria" w:cs="Cambria" w:eastAsia="Cambria"/>
          <w:sz w:val="22"/>
        </w:rPr>
        <w:t>: amplía a aparatos eléctricos y electrónicos, pilas y acumuladores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: acreditación de organismos de evaluación y principios del marcado CE, en vigilancia de mercado sustituido por el 2019/1020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 xml:space="preserve">: vigilancia del mercado, marco de controles a terceros países, </w:t>
      </w:r>
      <w:r>
        <w:rPr>
          <w:rFonts w:ascii="Cambria" w:hAnsi="Cambria" w:cs="Cambria" w:eastAsia="Cambria"/>
          <w:b/>
          <w:sz w:val="22"/>
        </w:rPr>
        <w:t>art. 25</w:t>
      </w:r>
      <w:r>
        <w:rPr>
          <w:rFonts w:ascii="Cambria" w:hAnsi="Cambria" w:cs="Cambria" w:eastAsia="Cambria"/>
          <w:sz w:val="22"/>
        </w:rPr>
        <w:t xml:space="preserve"> reconoce al SOIVRE como AVM con facultades de control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>: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: marco común, base del Nuevo Marco Legislativo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2023/988 (RGSP)</w:t>
      </w:r>
      <w:r>
        <w:rPr>
          <w:rFonts w:ascii="Cambria" w:hAnsi="Cambria" w:cs="Cambria" w:eastAsia="Cambria"/>
          <w:sz w:val="22"/>
        </w:rPr>
        <w:t xml:space="preserve">: seguridad general de productos, aplicable desde el </w:t>
      </w:r>
      <w:r>
        <w:rPr>
          <w:rFonts w:ascii="Cambria" w:hAnsi="Cambria" w:cs="Cambria" w:eastAsia="Cambria"/>
          <w:b/>
          <w:sz w:val="22"/>
        </w:rPr>
        <w:t>13 de diciembre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Deroga la Directiva 2001/95/CE, el Real Decreto 1801/2003 queda sin efecto autónomo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sustituye a RAPEX, refuerza obligaciones de mercados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1907/2006 REACH</w:t>
      </w:r>
      <w:r>
        <w:rPr>
          <w:rFonts w:ascii="Cambria" w:hAnsi="Cambria" w:cs="Cambria" w:eastAsia="Cambria"/>
          <w:sz w:val="22"/>
        </w:rPr>
        <w:t xml:space="preserve">: sustancias y mezclas, restricciones en </w:t>
      </w:r>
      <w:r>
        <w:rPr>
          <w:rFonts w:ascii="Cambria" w:hAnsi="Cambria" w:cs="Cambria" w:eastAsia="Cambria"/>
          <w:b/>
          <w:sz w:val="22"/>
        </w:rPr>
        <w:t>Anexo XVII</w:t>
      </w:r>
      <w:r>
        <w:rPr>
          <w:rFonts w:ascii="Cambria" w:hAnsi="Cambria" w:cs="Cambria" w:eastAsia="Cambria"/>
          <w:sz w:val="22"/>
        </w:rPr>
        <w:t xml:space="preserve">, crea la </w:t>
      </w:r>
      <w:r>
        <w:rPr>
          <w:rFonts w:ascii="Cambria" w:hAnsi="Cambria" w:cs="Cambria" w:eastAsia="Cambria"/>
          <w:b/>
          <w:sz w:val="22"/>
        </w:rPr>
        <w:t>ECHA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2023/2411</w:t>
      </w:r>
      <w:r>
        <w:rPr>
          <w:rFonts w:ascii="Cambria" w:hAnsi="Cambria" w:cs="Cambria" w:eastAsia="Cambria"/>
          <w:sz w:val="22"/>
        </w:rPr>
        <w:t>: indicaciones geográficas de productos artesanales e industriales, aplicable desde 2025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METALES NO FERROSOS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Producen metales distintos del hierro por primera fusión de concentrados o segunda fusión de chatarras, incluye semielaborados, preciosos y radiactivos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Principales metales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Metalurgia (CNAE 24, incluye hierro y acero) en 2024: </w:t>
      </w:r>
      <w:r>
        <w:rPr>
          <w:rFonts w:ascii="Cambria" w:hAnsi="Cambria" w:cs="Cambria" w:eastAsia="Cambria"/>
          <w:b/>
          <w:sz w:val="22"/>
        </w:rPr>
        <w:t>4,3 %</w:t>
      </w:r>
      <w:r>
        <w:rPr>
          <w:rFonts w:ascii="Cambria" w:hAnsi="Cambria" w:cs="Cambria" w:eastAsia="Cambria"/>
          <w:sz w:val="22"/>
        </w:rPr>
        <w:t xml:space="preserve"> producción industrial, </w:t>
      </w:r>
      <w:r>
        <w:rPr>
          <w:rFonts w:ascii="Cambria" w:hAnsi="Cambria" w:cs="Cambria" w:eastAsia="Cambria"/>
          <w:b/>
          <w:sz w:val="22"/>
        </w:rPr>
        <w:t>2,6 %</w:t>
      </w:r>
      <w:r>
        <w:rPr>
          <w:rFonts w:ascii="Cambria" w:hAnsi="Cambria" w:cs="Cambria" w:eastAsia="Cambria"/>
          <w:sz w:val="22"/>
        </w:rPr>
        <w:t xml:space="preserve"> VAB, </w:t>
      </w:r>
      <w:r>
        <w:rPr>
          <w:rFonts w:ascii="Cambria" w:hAnsi="Cambria" w:cs="Cambria" w:eastAsia="Cambria"/>
          <w:b/>
          <w:sz w:val="22"/>
        </w:rPr>
        <w:t>2,5 %</w:t>
      </w:r>
      <w:r>
        <w:rPr>
          <w:rFonts w:ascii="Cambria" w:hAnsi="Cambria" w:cs="Cambria" w:eastAsia="Cambria"/>
          <w:sz w:val="22"/>
        </w:rPr>
        <w:t xml:space="preserve"> empleo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DATACOMEX 2025: saldo positivo, exportaciones </w:t>
      </w:r>
      <w:r>
        <w:rPr>
          <w:rFonts w:ascii="Cambria" w:hAnsi="Cambria" w:cs="Cambria" w:eastAsia="Cambria"/>
          <w:b/>
          <w:sz w:val="22"/>
        </w:rPr>
        <w:t>+6,5 %</w:t>
      </w:r>
      <w:r>
        <w:rPr>
          <w:rFonts w:ascii="Cambria" w:hAnsi="Cambria" w:cs="Cambria" w:eastAsia="Cambria"/>
          <w:sz w:val="22"/>
        </w:rPr>
        <w:t xml:space="preserve">, importaciones </w:t>
      </w:r>
      <w:r>
        <w:rPr>
          <w:rFonts w:ascii="Cambria" w:hAnsi="Cambria" w:cs="Cambria" w:eastAsia="Cambria"/>
          <w:b/>
          <w:sz w:val="22"/>
        </w:rPr>
        <w:t>+15,3 %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Aluminio</w:t>
      </w:r>
      <w:r>
        <w:rPr>
          <w:rFonts w:ascii="Cambria" w:hAnsi="Cambria" w:cs="Cambria" w:eastAsia="Cambria"/>
          <w:sz w:val="22"/>
        </w:rPr>
        <w:t>: bauxita, China primer productor, déficit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Cobre</w:t>
      </w:r>
      <w:r>
        <w:rPr>
          <w:rFonts w:ascii="Cambria" w:hAnsi="Cambria" w:cs="Cambria" w:eastAsia="Cambria"/>
          <w:sz w:val="22"/>
        </w:rPr>
        <w:t xml:space="preserve">: conductores y aleaciones, Chile primer productor, superávit (exportaciones </w:t>
      </w:r>
      <w:r>
        <w:rPr>
          <w:rFonts w:ascii="Cambria" w:hAnsi="Cambria" w:cs="Cambria" w:eastAsia="Cambria"/>
          <w:b/>
          <w:sz w:val="22"/>
        </w:rPr>
        <w:t>~+20 %</w:t>
      </w:r>
      <w:r>
        <w:rPr>
          <w:rFonts w:ascii="Cambria" w:hAnsi="Cambria" w:cs="Cambria" w:eastAsia="Cambria"/>
          <w:sz w:val="22"/>
        </w:rPr>
        <w:t xml:space="preserve">, importaciones </w:t>
      </w:r>
      <w:r>
        <w:rPr>
          <w:rFonts w:ascii="Cambria" w:hAnsi="Cambria" w:cs="Cambria" w:eastAsia="Cambria"/>
          <w:b/>
          <w:sz w:val="22"/>
        </w:rPr>
        <w:t>~+30 %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Zinc</w:t>
      </w:r>
      <w:r>
        <w:rPr>
          <w:rFonts w:ascii="Cambria" w:hAnsi="Cambria" w:cs="Cambria" w:eastAsia="Cambria"/>
          <w:sz w:val="22"/>
        </w:rPr>
        <w:t>: galvanización, electrolítico, superávit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Plomo</w:t>
      </w:r>
      <w:r>
        <w:rPr>
          <w:rFonts w:ascii="Cambria" w:hAnsi="Cambria" w:cs="Cambria" w:eastAsia="Cambria"/>
          <w:sz w:val="22"/>
        </w:rPr>
        <w:t>: baterías, producción española por reciclado, déficit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Litio y tierras raras</w:t>
      </w:r>
      <w:r>
        <w:rPr>
          <w:rFonts w:ascii="Cambria" w:hAnsi="Cambria" w:cs="Cambria" w:eastAsia="Cambria"/>
          <w:sz w:val="22"/>
        </w:rPr>
        <w:t>: materias primas estratégicas para la transición energética y digital, dependencia exterior de la UE, déficit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2024/1252</w:t>
      </w:r>
      <w:r>
        <w:rPr>
          <w:rFonts w:ascii="Cambria" w:hAnsi="Cambria" w:cs="Cambria" w:eastAsia="Cambria"/>
          <w:sz w:val="22"/>
        </w:rPr>
        <w:t xml:space="preserve"> (Critical Raw Materials Act): objetivos 2030 de extracción (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>), transformación (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>) y reciclaje (</w:t>
      </w:r>
      <w:r>
        <w:rPr>
          <w:rFonts w:ascii="Cambria" w:hAnsi="Cambria" w:cs="Cambria" w:eastAsia="Cambria"/>
          <w:b/>
          <w:sz w:val="22"/>
        </w:rPr>
        <w:t>25 %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2023/956 (CBAM)</w:t>
      </w:r>
      <w:r>
        <w:rPr>
          <w:rFonts w:ascii="Cambria" w:hAnsi="Cambria" w:cs="Cambria" w:eastAsia="Cambria"/>
          <w:sz w:val="22"/>
        </w:rPr>
        <w:t>: aplicable al aluminio desde 2026, declarar emisiones incorporadas y adquirir certificados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2010/75/UE</w:t>
      </w:r>
      <w:r>
        <w:rPr>
          <w:rFonts w:ascii="Cambria" w:hAnsi="Cambria" w:cs="Cambria" w:eastAsia="Cambria"/>
          <w:sz w:val="22"/>
        </w:rPr>
        <w:t>: emisiones industriales, valores límite para grandes instalaciones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HIERRO Y ACERO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Sector básico: automoción, naval, ferroviario, construcción, maquinaria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Subsectores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Siderurgia integral</w:t>
      </w:r>
      <w:r>
        <w:rPr>
          <w:rFonts w:ascii="Cambria" w:hAnsi="Cambria" w:cs="Cambria" w:eastAsia="Cambria"/>
          <w:sz w:val="22"/>
        </w:rPr>
        <w:t>: mineral de hierro y coque, arrabio en altos hornos, grandes inversiones y economías de escala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Siderurgia común o eléctrica</w:t>
      </w:r>
      <w:r>
        <w:rPr>
          <w:rFonts w:ascii="Cambria" w:hAnsi="Cambria" w:cs="Cambria" w:eastAsia="Cambria"/>
          <w:sz w:val="22"/>
        </w:rPr>
        <w:t>: fusión de chatarra en hornos eléctricos, más flexible y menos emisiones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Aceros especiales</w:t>
      </w:r>
      <w:r>
        <w:rPr>
          <w:rFonts w:ascii="Cambria" w:hAnsi="Cambria" w:cs="Cambria" w:eastAsia="Cambria"/>
          <w:sz w:val="22"/>
        </w:rPr>
        <w:t>: aleaciones, aeronáutica, medicina, energía, defensa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China</w:t>
      </w:r>
      <w:r>
        <w:rPr>
          <w:rFonts w:ascii="Cambria" w:hAnsi="Cambria" w:cs="Cambria" w:eastAsia="Cambria"/>
          <w:sz w:val="22"/>
        </w:rPr>
        <w:t xml:space="preserve"> produce aproximadamente la mitad del acero mundial, en la UE destacan Alemania, Italia, Francia y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predominio de acerías eléctricas, instalaciones en País Vasco, Asturias, Galicia y Cataluña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DATACOMEX 2025: saldo negativo, superávit en manufacturas de hierro y acero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 a la UE, importaciones de la UE y, menos, China y Asia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Descarbonización</w:t>
      </w:r>
      <w:r>
        <w:rPr>
          <w:rFonts w:ascii="Cambria" w:hAnsi="Cambria" w:cs="Cambria" w:eastAsia="Cambria"/>
          <w:sz w:val="22"/>
        </w:rPr>
        <w:t xml:space="preserve">: acero responsable del </w:t>
      </w:r>
      <w:r>
        <w:rPr>
          <w:rFonts w:ascii="Cambria" w:hAnsi="Cambria" w:cs="Cambria" w:eastAsia="Cambria"/>
          <w:b/>
          <w:sz w:val="22"/>
        </w:rPr>
        <w:t>7 % al 9 %</w:t>
      </w:r>
      <w:r>
        <w:rPr>
          <w:rFonts w:ascii="Cambria" w:hAnsi="Cambria" w:cs="Cambria" w:eastAsia="Cambria"/>
          <w:sz w:val="22"/>
        </w:rPr>
        <w:t xml:space="preserve"> de las emisiones globales de CO2, </w:t>
      </w:r>
      <w:r>
        <w:rPr>
          <w:rFonts w:ascii="Cambria" w:hAnsi="Cambria" w:cs="Cambria" w:eastAsia="Cambria"/>
          <w:b/>
          <w:sz w:val="22"/>
        </w:rPr>
        <w:t>acero verde</w:t>
      </w:r>
      <w:r>
        <w:rPr>
          <w:rFonts w:ascii="Cambria" w:hAnsi="Cambria" w:cs="Cambria" w:eastAsia="Cambria"/>
          <w:sz w:val="22"/>
        </w:rPr>
        <w:t xml:space="preserve"> (hidrógeno u electricidad renovables), Pacto Verde Europeo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2023/956 (CBAM)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2010/75/UE</w:t>
      </w:r>
      <w:r>
        <w:rPr>
          <w:rFonts w:ascii="Cambria" w:hAnsi="Cambria" w:cs="Cambria" w:eastAsia="Cambria"/>
          <w:sz w:val="22"/>
        </w:rPr>
        <w:t>: emisiones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2016/1036</w:t>
      </w:r>
      <w:r>
        <w:rPr>
          <w:rFonts w:ascii="Cambria" w:hAnsi="Cambria" w:cs="Cambria" w:eastAsia="Cambria"/>
          <w:sz w:val="22"/>
        </w:rPr>
        <w:t>: antidumping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2016/1037</w:t>
      </w:r>
      <w:r>
        <w:rPr>
          <w:rFonts w:ascii="Cambria" w:hAnsi="Cambria" w:cs="Cambria" w:eastAsia="Cambria"/>
          <w:sz w:val="22"/>
        </w:rPr>
        <w:t>: antisubvenciones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PAPEL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Modernización y redimensionamiento con elevado esfuerzo inversor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Tipos</w:t>
      </w:r>
      <w:r>
        <w:rPr>
          <w:rFonts w:ascii="Cambria" w:hAnsi="Cambria" w:cs="Cambria" w:eastAsia="Cambria"/>
          <w:sz w:val="22"/>
        </w:rPr>
        <w:t>: prensa, impresión y escritura, higiénico y sanitario, envases y embalajes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Productores: China, EEUU, Japón, Canadá, en Europa Alemania, Suecia y Finlandia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unas </w:t>
      </w:r>
      <w:r>
        <w:rPr>
          <w:rFonts w:ascii="Cambria" w:hAnsi="Cambria" w:cs="Cambria" w:eastAsia="Cambria"/>
          <w:b/>
          <w:sz w:val="22"/>
        </w:rPr>
        <w:t>15</w:t>
      </w:r>
      <w:r>
        <w:rPr>
          <w:rFonts w:ascii="Cambria" w:hAnsi="Cambria" w:cs="Cambria" w:eastAsia="Cambria"/>
          <w:sz w:val="22"/>
        </w:rPr>
        <w:t xml:space="preserve"> fábricas de celulosa y más de </w:t>
      </w:r>
      <w:r>
        <w:rPr>
          <w:rFonts w:ascii="Cambria" w:hAnsi="Cambria" w:cs="Cambria" w:eastAsia="Cambria"/>
          <w:b/>
          <w:sz w:val="22"/>
        </w:rPr>
        <w:t>100</w:t>
      </w:r>
      <w:r>
        <w:rPr>
          <w:rFonts w:ascii="Cambria" w:hAnsi="Cambria" w:cs="Cambria" w:eastAsia="Cambria"/>
          <w:sz w:val="22"/>
        </w:rPr>
        <w:t xml:space="preserve"> papeleras, </w:t>
      </w:r>
      <w:r>
        <w:rPr>
          <w:rFonts w:ascii="Cambria" w:hAnsi="Cambria" w:cs="Cambria" w:eastAsia="Cambria"/>
          <w:b/>
          <w:sz w:val="22"/>
        </w:rPr>
        <w:t>SAICA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Smurfit Westrock España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Lecta</w:t>
      </w:r>
      <w:r>
        <w:rPr>
          <w:rFonts w:ascii="Cambria" w:hAnsi="Cambria" w:cs="Cambria" w:eastAsia="Cambria"/>
          <w:sz w:val="22"/>
        </w:rPr>
        <w:t>, sexto productor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DATACOMEX 2025: saldo positivo cercano a </w:t>
      </w:r>
      <w:r>
        <w:rPr>
          <w:rFonts w:ascii="Cambria" w:hAnsi="Cambria" w:cs="Cambria" w:eastAsia="Cambria"/>
          <w:b/>
          <w:sz w:val="22"/>
        </w:rPr>
        <w:t>126 M€</w:t>
      </w:r>
      <w:r>
        <w:rPr>
          <w:rFonts w:ascii="Cambria" w:hAnsi="Cambria" w:cs="Cambria" w:eastAsia="Cambria"/>
          <w:sz w:val="22"/>
        </w:rPr>
        <w:t>, exportaciones a la UE con ligero descenso, importaciones de Suecia, Finlandia e Italia al alza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INE 2024: </w:t>
      </w:r>
      <w:r>
        <w:rPr>
          <w:rFonts w:ascii="Cambria" w:hAnsi="Cambria" w:cs="Cambria" w:eastAsia="Cambria"/>
          <w:b/>
          <w:sz w:val="22"/>
        </w:rPr>
        <w:t>2,2 %</w:t>
      </w:r>
      <w:r>
        <w:rPr>
          <w:rFonts w:ascii="Cambria" w:hAnsi="Cambria" w:cs="Cambria" w:eastAsia="Cambria"/>
          <w:sz w:val="22"/>
        </w:rPr>
        <w:t xml:space="preserve"> producción industrial, </w:t>
      </w:r>
      <w:r>
        <w:rPr>
          <w:rFonts w:ascii="Cambria" w:hAnsi="Cambria" w:cs="Cambria" w:eastAsia="Cambria"/>
          <w:b/>
          <w:sz w:val="22"/>
        </w:rPr>
        <w:t>2,1 %</w:t>
      </w:r>
      <w:r>
        <w:rPr>
          <w:rFonts w:ascii="Cambria" w:hAnsi="Cambria" w:cs="Cambria" w:eastAsia="Cambria"/>
          <w:sz w:val="22"/>
        </w:rPr>
        <w:t xml:space="preserve"> empleo, </w:t>
      </w:r>
      <w:r>
        <w:rPr>
          <w:rFonts w:ascii="Cambria" w:hAnsi="Cambria" w:cs="Cambria" w:eastAsia="Cambria"/>
          <w:b/>
          <w:sz w:val="22"/>
        </w:rPr>
        <w:t>2,3 %</w:t>
      </w:r>
      <w:r>
        <w:rPr>
          <w:rFonts w:ascii="Cambria" w:hAnsi="Cambria" w:cs="Cambria" w:eastAsia="Cambria"/>
          <w:sz w:val="22"/>
        </w:rPr>
        <w:t xml:space="preserve"> VAB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Circularidad</w:t>
      </w:r>
      <w:r>
        <w:rPr>
          <w:rFonts w:ascii="Cambria" w:hAnsi="Cambria" w:cs="Cambria" w:eastAsia="Cambria"/>
          <w:sz w:val="22"/>
        </w:rPr>
        <w:t xml:space="preserve">: tasas de reciclaje de papel y cartón superiores al </w:t>
      </w: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>, efecto tractor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2023/1115 (EUDR)</w:t>
      </w:r>
      <w:r>
        <w:rPr>
          <w:rFonts w:ascii="Cambria" w:hAnsi="Cambria" w:cs="Cambria" w:eastAsia="Cambria"/>
          <w:sz w:val="22"/>
        </w:rPr>
        <w:t>: madera y derivados sin deforestación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2018/852</w:t>
      </w:r>
      <w:r>
        <w:rPr>
          <w:rFonts w:ascii="Cambria" w:hAnsi="Cambria" w:cs="Cambria" w:eastAsia="Cambria"/>
          <w:sz w:val="22"/>
        </w:rPr>
        <w:t>: objetivos de reciclado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>: envases y residuos de envases, economía circular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PRODUCTOS CERÁMICOS Y SIMILARES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Muy internacionalizada y concentrada geográficamente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Subsectores</w:t>
      </w:r>
      <w:r>
        <w:rPr>
          <w:rFonts w:ascii="Cambria" w:hAnsi="Cambria" w:cs="Cambria" w:eastAsia="Cambria"/>
          <w:sz w:val="22"/>
        </w:rPr>
        <w:t>: pavimentos y revestimientos, sanitaria, ladrillos y tejas, refractarios, técnica, doméstica y ornamental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Pavimentos y revestimientos</w:t>
      </w:r>
      <w:r>
        <w:rPr>
          <w:rFonts w:ascii="Cambria" w:hAnsi="Cambria" w:cs="Cambria" w:eastAsia="Cambria"/>
          <w:sz w:val="22"/>
        </w:rPr>
        <w:t xml:space="preserve">: motor del sector, más del </w:t>
      </w:r>
      <w:r>
        <w:rPr>
          <w:rFonts w:ascii="Cambria" w:hAnsi="Cambria" w:cs="Cambria" w:eastAsia="Cambria"/>
          <w:b/>
          <w:sz w:val="22"/>
        </w:rPr>
        <w:t>90 %</w:t>
      </w:r>
      <w:r>
        <w:rPr>
          <w:rFonts w:ascii="Cambria" w:hAnsi="Cambria" w:cs="Cambria" w:eastAsia="Cambria"/>
          <w:sz w:val="22"/>
        </w:rPr>
        <w:t xml:space="preserve"> en </w:t>
      </w:r>
      <w:r>
        <w:rPr>
          <w:rFonts w:ascii="Cambria" w:hAnsi="Cambria" w:cs="Cambria" w:eastAsia="Cambria"/>
          <w:b/>
          <w:sz w:val="22"/>
        </w:rPr>
        <w:t>Castellón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ASCER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DATACOMEX: superávit próximo a </w:t>
      </w:r>
      <w:r>
        <w:rPr>
          <w:rFonts w:ascii="Cambria" w:hAnsi="Cambria" w:cs="Cambria" w:eastAsia="Cambria"/>
          <w:b/>
          <w:sz w:val="22"/>
        </w:rPr>
        <w:t>4.500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1,5 %</w:t>
      </w:r>
      <w:r>
        <w:rPr>
          <w:rFonts w:ascii="Cambria" w:hAnsi="Cambria" w:cs="Cambria" w:eastAsia="Cambria"/>
          <w:sz w:val="22"/>
        </w:rPr>
        <w:t xml:space="preserve"> de las exportaciones, destinos UE, EEUU y Oriente Medio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Sanitaria: </w:t>
      </w:r>
      <w:r>
        <w:rPr>
          <w:rFonts w:ascii="Cambria" w:hAnsi="Cambria" w:cs="Cambria" w:eastAsia="Cambria"/>
          <w:b/>
          <w:sz w:val="22"/>
        </w:rPr>
        <w:t>Roca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Gala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Retos: coste energético y descarbonización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305/2011 (RPC)</w:t>
      </w:r>
      <w:r>
        <w:rPr>
          <w:rFonts w:ascii="Cambria" w:hAnsi="Cambria" w:cs="Cambria" w:eastAsia="Cambria"/>
          <w:sz w:val="22"/>
        </w:rPr>
        <w:t>: declaración de prestaciones y marcado 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2024/3110</w:t>
      </w:r>
      <w:r>
        <w:rPr>
          <w:rFonts w:ascii="Cambria" w:hAnsi="Cambria" w:cs="Cambria" w:eastAsia="Cambria"/>
          <w:sz w:val="22"/>
        </w:rPr>
        <w:t>: sostenibilidad, digitalización e información ambiental, sustituye progresivamente al anterior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 UNE-EN</w:t>
      </w:r>
      <w:r>
        <w:rPr>
          <w:rFonts w:ascii="Cambria" w:hAnsi="Cambria" w:cs="Cambria" w:eastAsia="Cambria"/>
          <w:sz w:val="22"/>
        </w:rPr>
        <w:t xml:space="preserve"> de AENOR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PRODUCTOS QUÍMICOS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Sector estratégico y transversal, alta intensidad tecnológica e I+D+i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Ramas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Química básica</w:t>
      </w:r>
      <w:r>
        <w:rPr>
          <w:rFonts w:ascii="Cambria" w:hAnsi="Cambria" w:cs="Cambria" w:eastAsia="Cambria"/>
          <w:sz w:val="22"/>
        </w:rPr>
        <w:t>: orgánica, inorgánica, fertilizantes, colorantes, pigmentos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Química de la salud</w:t>
      </w:r>
      <w:r>
        <w:rPr>
          <w:rFonts w:ascii="Cambria" w:hAnsi="Cambria" w:cs="Cambria" w:eastAsia="Cambria"/>
          <w:sz w:val="22"/>
        </w:rPr>
        <w:t>: farmacéuticos, fitosanitarios, zoosanitarios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Química para industria y consumo final</w:t>
      </w:r>
      <w:r>
        <w:rPr>
          <w:rFonts w:ascii="Cambria" w:hAnsi="Cambria" w:cs="Cambria" w:eastAsia="Cambria"/>
          <w:sz w:val="22"/>
        </w:rPr>
        <w:t>: pinturas, tintas, detergentes, perfumería, cosmética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Cataluña</w:t>
      </w:r>
      <w:r>
        <w:rPr>
          <w:rFonts w:ascii="Cambria" w:hAnsi="Cambria" w:cs="Cambria" w:eastAsia="Cambria"/>
          <w:sz w:val="22"/>
        </w:rPr>
        <w:t xml:space="preserve"> reúne el </w:t>
      </w:r>
      <w:r>
        <w:rPr>
          <w:rFonts w:ascii="Cambria" w:hAnsi="Cambria" w:cs="Cambria" w:eastAsia="Cambria"/>
          <w:b/>
          <w:sz w:val="22"/>
        </w:rPr>
        <w:t>42 %</w:t>
      </w:r>
      <w:r>
        <w:rPr>
          <w:rFonts w:ascii="Cambria" w:hAnsi="Cambria" w:cs="Cambria" w:eastAsia="Cambria"/>
          <w:sz w:val="22"/>
        </w:rPr>
        <w:t xml:space="preserve"> de la producción, seguida de Andalucía (Huelva), Comunidad Valenciana y Madrid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Mundo: China, EEUU y Alemania. España </w:t>
      </w:r>
      <w:r>
        <w:rPr>
          <w:rFonts w:ascii="Cambria" w:hAnsi="Cambria" w:cs="Cambria" w:eastAsia="Cambria"/>
          <w:b/>
          <w:sz w:val="22"/>
        </w:rPr>
        <w:t>quinta</w:t>
      </w:r>
      <w:r>
        <w:rPr>
          <w:rFonts w:ascii="Cambria" w:hAnsi="Cambria" w:cs="Cambria" w:eastAsia="Cambria"/>
          <w:sz w:val="22"/>
        </w:rPr>
        <w:t xml:space="preserve">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INE 2024: </w:t>
      </w:r>
      <w:r>
        <w:rPr>
          <w:rFonts w:ascii="Cambria" w:hAnsi="Cambria" w:cs="Cambria" w:eastAsia="Cambria"/>
          <w:b/>
          <w:sz w:val="22"/>
        </w:rPr>
        <w:t>6,5 %</w:t>
      </w:r>
      <w:r>
        <w:rPr>
          <w:rFonts w:ascii="Cambria" w:hAnsi="Cambria" w:cs="Cambria" w:eastAsia="Cambria"/>
          <w:sz w:val="22"/>
        </w:rPr>
        <w:t xml:space="preserve"> producción industrial, </w:t>
      </w:r>
      <w:r>
        <w:rPr>
          <w:rFonts w:ascii="Cambria" w:hAnsi="Cambria" w:cs="Cambria" w:eastAsia="Cambria"/>
          <w:b/>
          <w:sz w:val="22"/>
        </w:rPr>
        <w:t>4,4 %</w:t>
      </w:r>
      <w:r>
        <w:rPr>
          <w:rFonts w:ascii="Cambria" w:hAnsi="Cambria" w:cs="Cambria" w:eastAsia="Cambria"/>
          <w:sz w:val="22"/>
        </w:rPr>
        <w:t xml:space="preserve"> empleo, </w:t>
      </w:r>
      <w:r>
        <w:rPr>
          <w:rFonts w:ascii="Cambria" w:hAnsi="Cambria" w:cs="Cambria" w:eastAsia="Cambria"/>
          <w:b/>
          <w:sz w:val="22"/>
        </w:rPr>
        <w:t>5,7 %</w:t>
      </w:r>
      <w:r>
        <w:rPr>
          <w:rFonts w:ascii="Cambria" w:hAnsi="Cambria" w:cs="Cambria" w:eastAsia="Cambria"/>
          <w:sz w:val="22"/>
        </w:rPr>
        <w:t xml:space="preserve"> VAB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Déficit comercial considerable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Retos: descarbonización, sustancias peligrosas, economía circular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 de Rotterdam (1998)</w:t>
      </w:r>
      <w:r>
        <w:rPr>
          <w:rFonts w:ascii="Cambria" w:hAnsi="Cambria" w:cs="Cambria" w:eastAsia="Cambria"/>
          <w:sz w:val="22"/>
        </w:rPr>
        <w:t>: consentimiento fundamentado previo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REACH (CE) 1907/2006</w:t>
      </w:r>
      <w:r>
        <w:rPr>
          <w:rFonts w:ascii="Cambria" w:hAnsi="Cambria" w:cs="Cambria" w:eastAsia="Cambria"/>
          <w:sz w:val="22"/>
        </w:rPr>
        <w:t>: registro, evaluación, autorización y restricción, la industria demuestra la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Comisión frena la reforma integral, solo simplifica procedimientos y refuerza la vigilancia aduanera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1272/2008</w:t>
      </w:r>
      <w:r>
        <w:rPr>
          <w:rFonts w:ascii="Cambria" w:hAnsi="Cambria" w:cs="Cambria" w:eastAsia="Cambria"/>
          <w:sz w:val="22"/>
        </w:rPr>
        <w:t>: clasificación, etiquetado y envasado, armonizado con el SGA de la ONU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440/2008</w:t>
      </w:r>
      <w:r>
        <w:rPr>
          <w:rFonts w:ascii="Cambria" w:hAnsi="Cambria" w:cs="Cambria" w:eastAsia="Cambria"/>
          <w:sz w:val="22"/>
        </w:rPr>
        <w:t>: métodos de ensayo REACH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2019/1021</w:t>
      </w:r>
      <w:r>
        <w:rPr>
          <w:rFonts w:ascii="Cambria" w:hAnsi="Cambria" w:cs="Cambria" w:eastAsia="Cambria"/>
          <w:sz w:val="22"/>
        </w:rPr>
        <w:t>: contaminantes orgánicos persistentes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PRE/3249/2007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 certifica buenas prácticas de laboratorio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PLÁSTICOS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Polímeros de petróleo, gas natural, carbón y minerales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Familias: </w:t>
      </w:r>
      <w:r>
        <w:rPr>
          <w:rFonts w:ascii="Cambria" w:hAnsi="Cambria" w:cs="Cambria" w:eastAsia="Cambria"/>
          <w:b/>
          <w:sz w:val="22"/>
        </w:rPr>
        <w:t>PVC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PP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PET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Aplicaciones: envases, construcción, automoción, telecomunicaciones, equipos médicos, electrónica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Productores: China, EEUU, Japón y Alemania. España: unas </w:t>
      </w:r>
      <w:r>
        <w:rPr>
          <w:rFonts w:ascii="Cambria" w:hAnsi="Cambria" w:cs="Cambria" w:eastAsia="Cambria"/>
          <w:b/>
          <w:sz w:val="22"/>
        </w:rPr>
        <w:t>100</w:t>
      </w:r>
      <w:r>
        <w:rPr>
          <w:rFonts w:ascii="Cambria" w:hAnsi="Cambria" w:cs="Cambria" w:eastAsia="Cambria"/>
          <w:sz w:val="22"/>
        </w:rPr>
        <w:t xml:space="preserve"> productoras y miles de transformadoras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Producción en Cataluña, País Vasco, Comunidad Valenciana y Madrid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DATACOMEX: déficit cercano a </w:t>
      </w:r>
      <w:r>
        <w:rPr>
          <w:rFonts w:ascii="Cambria" w:hAnsi="Cambria" w:cs="Cambria" w:eastAsia="Cambria"/>
          <w:b/>
          <w:sz w:val="22"/>
        </w:rPr>
        <w:t>2.000 M€</w:t>
      </w:r>
      <w:r>
        <w:rPr>
          <w:rFonts w:ascii="Cambria" w:hAnsi="Cambria" w:cs="Cambria" w:eastAsia="Cambria"/>
          <w:sz w:val="22"/>
        </w:rPr>
        <w:t>, destinos Francia, Portugal, Italia, Alemania, Turquía y Marruecos, importaciones de Francia, Alemania, Italia y China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Reto: sostenibilidad, menos plásticos de un solo uso, más reciclado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(UE) 2019/904</w:t>
      </w:r>
      <w:r>
        <w:rPr>
          <w:rFonts w:ascii="Cambria" w:hAnsi="Cambria" w:cs="Cambria" w:eastAsia="Cambria"/>
          <w:sz w:val="22"/>
        </w:rPr>
        <w:t>: prohíbe plásticos de un solo uso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2022/1616</w:t>
      </w:r>
      <w:r>
        <w:rPr>
          <w:rFonts w:ascii="Cambria" w:hAnsi="Cambria" w:cs="Cambria" w:eastAsia="Cambria"/>
          <w:sz w:val="22"/>
        </w:rPr>
        <w:t>: plástico reciclado en contacto con alimentos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>: envases y residuos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REACH</w:t>
      </w:r>
      <w:r>
        <w:rPr>
          <w:rFonts w:ascii="Cambria" w:hAnsi="Cambria" w:cs="Cambria" w:eastAsia="Cambria"/>
          <w:sz w:val="22"/>
        </w:rPr>
        <w:t>: aditivos y plastificantes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2025/40 (PPWR)</w:t>
      </w:r>
      <w:r>
        <w:rPr>
          <w:rFonts w:ascii="Cambria" w:hAnsi="Cambria" w:cs="Cambria" w:eastAsia="Cambria"/>
          <w:sz w:val="22"/>
        </w:rPr>
        <w:t>: sustituye progresivamente el marco anterior, reutilización, reciclabilidad y contenido reciclado mínimo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MEDICAMENTOS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Dos áreas: </w:t>
      </w:r>
      <w:r>
        <w:rPr>
          <w:rFonts w:ascii="Cambria" w:hAnsi="Cambria" w:cs="Cambria" w:eastAsia="Cambria"/>
          <w:b/>
          <w:sz w:val="22"/>
        </w:rPr>
        <w:t>genéricos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innovadores</w:t>
      </w:r>
      <w:r>
        <w:rPr>
          <w:rFonts w:ascii="Cambria" w:hAnsi="Cambria" w:cs="Cambria" w:eastAsia="Cambria"/>
          <w:sz w:val="22"/>
        </w:rPr>
        <w:t xml:space="preserve">, separadas por la </w:t>
      </w:r>
      <w:r>
        <w:rPr>
          <w:rFonts w:ascii="Cambria" w:hAnsi="Cambria" w:cs="Cambria" w:eastAsia="Cambria"/>
          <w:b/>
          <w:sz w:val="22"/>
        </w:rPr>
        <w:t>patente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I+D+i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18 %</w:t>
      </w:r>
      <w:r>
        <w:rPr>
          <w:rFonts w:ascii="Cambria" w:hAnsi="Cambria" w:cs="Cambria" w:eastAsia="Cambria"/>
          <w:sz w:val="22"/>
        </w:rPr>
        <w:t xml:space="preserve"> del gasto empresarial español, retroceso en innovación frente a EEUU y Japón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UE: España </w:t>
      </w:r>
      <w:r>
        <w:rPr>
          <w:rFonts w:ascii="Cambria" w:hAnsi="Cambria" w:cs="Cambria" w:eastAsia="Cambria"/>
          <w:b/>
          <w:sz w:val="22"/>
        </w:rPr>
        <w:t>quinta</w:t>
      </w:r>
      <w:r>
        <w:rPr>
          <w:rFonts w:ascii="Cambria" w:hAnsi="Cambria" w:cs="Cambria" w:eastAsia="Cambria"/>
          <w:sz w:val="22"/>
        </w:rPr>
        <w:t xml:space="preserve"> en consumo y </w:t>
      </w:r>
      <w:r>
        <w:rPr>
          <w:rFonts w:ascii="Cambria" w:hAnsi="Cambria" w:cs="Cambria" w:eastAsia="Cambria"/>
          <w:b/>
          <w:sz w:val="22"/>
        </w:rPr>
        <w:t>sexta</w:t>
      </w:r>
      <w:r>
        <w:rPr>
          <w:rFonts w:ascii="Cambria" w:hAnsi="Cambria" w:cs="Cambria" w:eastAsia="Cambria"/>
          <w:sz w:val="22"/>
        </w:rPr>
        <w:t xml:space="preserve"> en producción, actividad en Madrid y Cataluña, multinacionales Pfizer, GSK, Novartis y Roche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INE: </w:t>
      </w:r>
      <w:r>
        <w:rPr>
          <w:rFonts w:ascii="Cambria" w:hAnsi="Cambria" w:cs="Cambria" w:eastAsia="Cambria"/>
          <w:b/>
          <w:sz w:val="22"/>
        </w:rPr>
        <w:t>2,7 %</w:t>
      </w:r>
      <w:r>
        <w:rPr>
          <w:rFonts w:ascii="Cambria" w:hAnsi="Cambria" w:cs="Cambria" w:eastAsia="Cambria"/>
          <w:sz w:val="22"/>
        </w:rPr>
        <w:t xml:space="preserve"> producción industrial, </w:t>
      </w:r>
      <w:r>
        <w:rPr>
          <w:rFonts w:ascii="Cambria" w:hAnsi="Cambria" w:cs="Cambria" w:eastAsia="Cambria"/>
          <w:b/>
          <w:sz w:val="22"/>
        </w:rPr>
        <w:t>2,6 %</w:t>
      </w:r>
      <w:r>
        <w:rPr>
          <w:rFonts w:ascii="Cambria" w:hAnsi="Cambria" w:cs="Cambria" w:eastAsia="Cambria"/>
          <w:sz w:val="22"/>
        </w:rPr>
        <w:t xml:space="preserve"> empleo, </w:t>
      </w:r>
      <w:r>
        <w:rPr>
          <w:rFonts w:ascii="Cambria" w:hAnsi="Cambria" w:cs="Cambria" w:eastAsia="Cambria"/>
          <w:b/>
          <w:sz w:val="22"/>
        </w:rPr>
        <w:t>3,8 %</w:t>
      </w:r>
      <w:r>
        <w:rPr>
          <w:rFonts w:ascii="Cambria" w:hAnsi="Cambria" w:cs="Cambria" w:eastAsia="Cambria"/>
          <w:sz w:val="22"/>
        </w:rPr>
        <w:t xml:space="preserve"> VAB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Comercio exterior: saldo negativo estructural, importaciones y exportaciones crecen cerca del </w:t>
      </w:r>
      <w:r>
        <w:rPr>
          <w:rFonts w:ascii="Cambria" w:hAnsi="Cambria" w:cs="Cambria" w:eastAsia="Cambria"/>
          <w:b/>
          <w:sz w:val="22"/>
        </w:rPr>
        <w:t>15 %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 a Alemania, Francia, Bélgica, EEUU y China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 de Alemania e Italia, EEUU primer suministrador extracomunitario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Tras la COVID-19: autonomía farmacéutica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8.1.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RDL 1/2015</w:t>
      </w:r>
      <w:r>
        <w:rPr>
          <w:rFonts w:ascii="Cambria" w:hAnsi="Cambria" w:cs="Cambria" w:eastAsia="Cambria"/>
          <w:sz w:val="22"/>
        </w:rPr>
        <w:t>: texto refundido de la Ley de garantías y uso racional de medicamentos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824/2010</w:t>
      </w:r>
      <w:r>
        <w:rPr>
          <w:rFonts w:ascii="Cambria" w:hAnsi="Cambria" w:cs="Cambria" w:eastAsia="Cambria"/>
          <w:sz w:val="22"/>
        </w:rPr>
        <w:t>: laboratorios, principios activos y comercio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SPI/2136/2011</w:t>
      </w:r>
      <w:r>
        <w:rPr>
          <w:rFonts w:ascii="Cambria" w:hAnsi="Cambria" w:cs="Cambria" w:eastAsia="Cambria"/>
          <w:sz w:val="22"/>
        </w:rPr>
        <w:t>: control sanitario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Circular 1/2015</w:t>
      </w:r>
      <w:r>
        <w:rPr>
          <w:rFonts w:ascii="Cambria" w:hAnsi="Cambria" w:cs="Cambria" w:eastAsia="Cambria"/>
          <w:sz w:val="22"/>
        </w:rPr>
        <w:t>: comercio exterior de medicamentos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1573/1993</w:t>
      </w:r>
      <w:r>
        <w:rPr>
          <w:rFonts w:ascii="Cambria" w:hAnsi="Cambria" w:cs="Cambria" w:eastAsia="Cambria"/>
          <w:sz w:val="22"/>
        </w:rPr>
        <w:t>: psicotrópicos y estupefacientes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2001/83/CE</w:t>
      </w:r>
      <w:r>
        <w:rPr>
          <w:rFonts w:ascii="Cambria" w:hAnsi="Cambria" w:cs="Cambria" w:eastAsia="Cambria"/>
          <w:sz w:val="22"/>
        </w:rPr>
        <w:t>: Código Comunitario de Medicamentos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726/2004</w:t>
      </w:r>
      <w:r>
        <w:rPr>
          <w:rFonts w:ascii="Cambria" w:hAnsi="Cambria" w:cs="Cambria" w:eastAsia="Cambria"/>
          <w:sz w:val="22"/>
        </w:rPr>
        <w:t xml:space="preserve">: crea la </w:t>
      </w:r>
      <w:r>
        <w:rPr>
          <w:rFonts w:ascii="Cambria" w:hAnsi="Cambria" w:cs="Cambria" w:eastAsia="Cambria"/>
          <w:b/>
          <w:sz w:val="22"/>
        </w:rPr>
        <w:t>EMA</w:t>
      </w:r>
      <w:r>
        <w:rPr>
          <w:rFonts w:ascii="Cambria" w:hAnsi="Cambria" w:cs="Cambria" w:eastAsia="Cambria"/>
          <w:sz w:val="22"/>
        </w:rPr>
        <w:t>, autorización centralizada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536/2014</w:t>
      </w:r>
      <w:r>
        <w:rPr>
          <w:rFonts w:ascii="Cambria" w:hAnsi="Cambria" w:cs="Cambria" w:eastAsia="Cambria"/>
          <w:sz w:val="22"/>
        </w:rPr>
        <w:t>: ensayos clínicos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Farmacéutica para Europa (2020)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2022/123</w:t>
      </w:r>
      <w:r>
        <w:rPr>
          <w:rFonts w:ascii="Cambria" w:hAnsi="Cambria" w:cs="Cambria" w:eastAsia="Cambria"/>
          <w:sz w:val="22"/>
        </w:rPr>
        <w:t>: mandato ampliado de la EMA en crisis sanitarias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9. PESTICIDAS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Sustancias o mezclas para prevenir, controlar o eliminar organismos nocivos de vegetales, regular el crecimiento o facilitar la desecación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Excluidos: fertilizantes y antibióticos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3349/1983</w:t>
      </w:r>
      <w:r>
        <w:rPr>
          <w:rFonts w:ascii="Cambria" w:hAnsi="Cambria" w:cs="Cambria" w:eastAsia="Cambria"/>
          <w:sz w:val="22"/>
        </w:rPr>
        <w:t>: sustancias activas y preparados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DATACOMEX 2025: déficit, mercado concentrado (Bayer, Syngenta, BASF, Corteva, Fertiberia)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Importaciones de la UE, Egipto y Marruecos, exportaciones a la UE (Portugal) y Brasil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Glifosato</w:t>
      </w:r>
      <w:r>
        <w:rPr>
          <w:rFonts w:ascii="Cambria" w:hAnsi="Cambria" w:cs="Cambria" w:eastAsia="Cambria"/>
          <w:sz w:val="22"/>
        </w:rPr>
        <w:t xml:space="preserve">: autorización renovada en 2023 por diez años, hasta </w:t>
      </w:r>
      <w:r>
        <w:rPr>
          <w:rFonts w:ascii="Cambria" w:hAnsi="Cambria" w:cs="Cambria" w:eastAsia="Cambria"/>
          <w:b/>
          <w:sz w:val="22"/>
        </w:rPr>
        <w:t>2033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9.1. Clasificación según su acción específica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Insecticidas y acaricidas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Fungicidas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Nematocidas, desinfectantes y fumigantes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Herbicidas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Fitorreguladores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Molusquicidas, rodenticidas y otros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Postcosecha y semillas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Protectores de madera y fibras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9.2.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3349/1983</w:t>
      </w:r>
      <w:r>
        <w:rPr>
          <w:rFonts w:ascii="Cambria" w:hAnsi="Cambria" w:cs="Cambria" w:eastAsia="Cambria"/>
          <w:sz w:val="22"/>
        </w:rPr>
        <w:t>: Reglamentación Técnico-Sanitaria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1107/2009</w:t>
      </w:r>
      <w:r>
        <w:rPr>
          <w:rFonts w:ascii="Cambria" w:hAnsi="Cambria" w:cs="Cambria" w:eastAsia="Cambria"/>
          <w:sz w:val="22"/>
        </w:rPr>
        <w:t>: aprobación de sustancias activas y autorización de fitosanitarios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 xml:space="preserve">: límites máximos de residuos, evaluación de la </w:t>
      </w:r>
      <w:r>
        <w:rPr>
          <w:rFonts w:ascii="Cambria" w:hAnsi="Cambria" w:cs="Cambria" w:eastAsia="Cambria"/>
          <w:b/>
          <w:sz w:val="22"/>
        </w:rPr>
        <w:t>EFSA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REACH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2009/128/CE</w:t>
      </w:r>
      <w:r>
        <w:rPr>
          <w:rFonts w:ascii="Cambria" w:hAnsi="Cambria" w:cs="Cambria" w:eastAsia="Cambria"/>
          <w:sz w:val="22"/>
        </w:rPr>
        <w:t>: uso sostenible, gestión integrada de plagas, formación, reducción de riesgos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PAN</w:t>
      </w:r>
      <w:r>
        <w:rPr>
          <w:rFonts w:ascii="Cambria" w:hAnsi="Cambria" w:cs="Cambria" w:eastAsia="Cambria"/>
          <w:sz w:val="22"/>
        </w:rPr>
        <w:t>: aplicación en España de la Directiva 2009/128/CE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Revisión en curso de la normativa de uso sostenible (Pacto Verde, «De la Granja a la Mesa»)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 de Estocolmo (2001)</w:t>
      </w:r>
      <w:r>
        <w:rPr>
          <w:rFonts w:ascii="Cambria" w:hAnsi="Cambria" w:cs="Cambria" w:eastAsia="Cambria"/>
          <w:sz w:val="22"/>
        </w:rPr>
        <w:t>: contaminantes orgánicos persistentes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 de Rotterdam (1998)</w:t>
      </w:r>
      <w:r>
        <w:rPr>
          <w:rFonts w:ascii="Cambria" w:hAnsi="Cambria" w:cs="Cambria" w:eastAsia="Cambria"/>
          <w:sz w:val="22"/>
        </w:rPr>
        <w:t>: consentimiento fundamentado previo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10.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Semimanufacturas: bienes intermedios para toda la economía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Desafíos comunes: transición ecológica, digitalización, regulación, suministro seguro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Competitivos: cerámica, papel. Dependientes: materias primas, química, farmacia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UE: autonomía estratégica abierta, innovación, descarbonización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15 – Sector de semi-manufacturas: Metales no ferrosos. Hierro y acero. Papel. Productos cerámicos y similares. Productos químicos. Plásticos. Medicamentos. Pesticidas.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15 – Sector de semi-manufacturas: Metales no ferrosos. Hierro y acero. Papel. Productos cerámicos y similares. Productos químicos. Plásticos. Medicamentos. Pesticidas.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