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Industrialización años 60</w:t>
      </w:r>
      <w:r>
        <w:rPr>
          <w:rFonts w:ascii="Cambria" w:hAnsi="Cambria" w:cs="Cambria" w:eastAsia="Cambria"/>
          <w:sz w:val="22"/>
        </w:rPr>
        <w:t>: estructura sesgada a sectores tradicionales intensivos en mano de obra, dependencia energética y tecnológica, muchas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Entrada en la CEE (1986)</w:t>
      </w:r>
      <w:r>
        <w:rPr>
          <w:rFonts w:ascii="Cambria" w:hAnsi="Cambria" w:cs="Cambria" w:eastAsia="Cambria"/>
          <w:sz w:val="22"/>
        </w:rPr>
        <w:t>: reconversión industrial tardía, adaptación al Mercado Único y a la liberalización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Sector secundario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14,2 % del PIB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15,6 % del VAB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11,4 % del empleo</w:t>
      </w:r>
      <w:r>
        <w:rPr>
          <w:rFonts w:ascii="Cambria" w:hAnsi="Cambria" w:cs="Cambria" w:eastAsia="Cambria"/>
          <w:sz w:val="22"/>
        </w:rPr>
        <w:t xml:space="preserve"> (Informe Anual 2025 de la SGEAPA del MINTUR)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Industria manufacturera: bienes intermedios, bienes de equipo y bienes de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Bienes de consumo duradero</w:t>
      </w:r>
      <w:r>
        <w:rPr>
          <w:rFonts w:ascii="Cambria" w:hAnsi="Cambria" w:cs="Cambria" w:eastAsia="Cambria"/>
          <w:sz w:val="22"/>
        </w:rPr>
        <w:t>: vida útil superior a un año, demandados por familias, empresas y sector público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 motor, incide en proveedores de semimanufacturas y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1,6 %</w:t>
      </w:r>
      <w:r>
        <w:rPr>
          <w:rFonts w:ascii="Cambria" w:hAnsi="Cambria" w:cs="Cambria" w:eastAsia="Cambria"/>
          <w:sz w:val="22"/>
        </w:rPr>
        <w:t xml:space="preserve"> de las exportaciones y </w:t>
      </w:r>
      <w:r>
        <w:rPr>
          <w:rFonts w:ascii="Cambria" w:hAnsi="Cambria" w:cs="Cambria" w:eastAsia="Cambria"/>
          <w:b/>
          <w:sz w:val="22"/>
        </w:rPr>
        <w:t>2,6 %</w:t>
      </w:r>
      <w:r>
        <w:rPr>
          <w:rFonts w:ascii="Cambria" w:hAnsi="Cambria" w:cs="Cambria" w:eastAsia="Cambria"/>
          <w:sz w:val="22"/>
        </w:rPr>
        <w:t xml:space="preserve"> de las importaciones españolas (DATACOMEX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Muebles: </w:t>
      </w:r>
      <w:r>
        <w:rPr>
          <w:rFonts w:ascii="Cambria" w:hAnsi="Cambria" w:cs="Cambria" w:eastAsia="Cambria"/>
          <w:b/>
          <w:sz w:val="22"/>
        </w:rPr>
        <w:t>50,5 %</w:t>
      </w:r>
      <w:r>
        <w:rPr>
          <w:rFonts w:ascii="Cambria" w:hAnsi="Cambria" w:cs="Cambria" w:eastAsia="Cambria"/>
          <w:sz w:val="22"/>
        </w:rPr>
        <w:t xml:space="preserve"> de las exportaciones y </w:t>
      </w:r>
      <w:r>
        <w:rPr>
          <w:rFonts w:ascii="Cambria" w:hAnsi="Cambria" w:cs="Cambria" w:eastAsia="Cambria"/>
          <w:b/>
          <w:sz w:val="22"/>
        </w:rPr>
        <w:t>37,4 %</w:t>
      </w:r>
      <w:r>
        <w:rPr>
          <w:rFonts w:ascii="Cambria" w:hAnsi="Cambria" w:cs="Cambria" w:eastAsia="Cambria"/>
          <w:sz w:val="22"/>
        </w:rPr>
        <w:t xml:space="preserve"> de las importaciones del sector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Desarrollo normativo: </w:t>
      </w:r>
      <w:r>
        <w:rPr>
          <w:rFonts w:ascii="Cambria" w:hAnsi="Cambria" w:cs="Cambria" w:eastAsia="Cambria"/>
          <w:b/>
          <w:sz w:val="22"/>
        </w:rPr>
        <w:t>SG de Calidad y Seguridad Industrial</w:t>
      </w:r>
      <w:r>
        <w:rPr>
          <w:rFonts w:ascii="Cambria" w:hAnsi="Cambria" w:cs="Cambria" w:eastAsia="Cambria"/>
          <w:sz w:val="22"/>
        </w:rPr>
        <w:t xml:space="preserve"> del MINTUR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21/1992, de Industria</w:t>
      </w:r>
      <w:r>
        <w:rPr>
          <w:rFonts w:ascii="Cambria" w:hAnsi="Cambria" w:cs="Cambria" w:eastAsia="Cambria"/>
          <w:sz w:val="22"/>
        </w:rPr>
        <w:t>: adapta la actividad industrial a la UE y al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559/2010</w:t>
      </w:r>
      <w:r>
        <w:rPr>
          <w:rFonts w:ascii="Cambria" w:hAnsi="Cambria" w:cs="Cambria" w:eastAsia="Cambria"/>
          <w:sz w:val="22"/>
        </w:rPr>
        <w:t>: Reglamento del Registro Integrado Industrial (RII)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1072/2015</w:t>
      </w:r>
      <w:r>
        <w:rPr>
          <w:rFonts w:ascii="Cambria" w:hAnsi="Cambria" w:cs="Cambria" w:eastAsia="Cambria"/>
          <w:sz w:val="22"/>
        </w:rPr>
        <w:t>: Infraestructura para la Calidad y la Seguridad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normalización,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>: etiquetado, presentación y publicidad de productos industriales sin normativa específica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Etiquetado real, veraz y fácil de entender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mínimos: denominación, composición, plazo de uso, contenido neto, características, lote, empresa, origen, alérgenos y, si procede, potencia, tensión y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 terceros países que no cumplan: identificadas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1406/1989</w:t>
      </w:r>
      <w:r>
        <w:rPr>
          <w:rFonts w:ascii="Cambria" w:hAnsi="Cambria" w:cs="Cambria" w:eastAsia="Cambria"/>
          <w:sz w:val="22"/>
        </w:rPr>
        <w:t>: limita sustancias (benceno, amianto, dimetilfumarato, pentaclorofenol) y prohíbe termómetros de mercurio desde 2009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>: control de importaciones en seguridad a partir de alertas RAPEX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(Direcciones Territoriales y Provinciales de Comercio) controla la conformidad antes del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 de productos en la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drones, puericultura, textil, calzado, juguetes, ciertos EPIs, pequeño material eléctrico, determinados muebles y derivados de madera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control SOIVRE de AEEs en RoHS y en obligaciones del RII de AEEs, pilas y acumuladores de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: acreditación y marcado CE (directivas de Nuevo Enfoque)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Vigilancia de mercado sustituida por el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 (poderes de las AVM, controles de terceros países)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: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marco común, base del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>: deroga la Directiva 2001/95/CE (Real Decreto 1801/2003 sin efecto autónomo)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Aplicable desde el </w:t>
      </w:r>
      <w:r>
        <w:rPr>
          <w:rFonts w:ascii="Cambria" w:hAnsi="Cambria" w:cs="Cambria" w:eastAsia="Cambria"/>
          <w:b/>
          <w:sz w:val="22"/>
        </w:rPr>
        <w:t>13 de diciembre de 2024</w:t>
      </w:r>
      <w:r>
        <w:rPr>
          <w:rFonts w:ascii="Cambria" w:hAnsi="Cambria" w:cs="Cambria" w:eastAsia="Cambria"/>
          <w:sz w:val="22"/>
        </w:rPr>
        <w:t>, seguridad general de 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Refuerza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(sustituye a RAPEX) y obligaciones de mercados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1907/2006 REACH</w:t>
      </w:r>
      <w:r>
        <w:rPr>
          <w:rFonts w:ascii="Cambria" w:hAnsi="Cambria" w:cs="Cambria" w:eastAsia="Cambria"/>
          <w:sz w:val="22"/>
        </w:rPr>
        <w:t xml:space="preserve">: restricciones (Anexo XVII) y creación de la </w:t>
      </w:r>
      <w:r>
        <w:rPr>
          <w:rFonts w:ascii="Cambria" w:hAnsi="Cambria" w:cs="Cambria" w:eastAsia="Cambria"/>
          <w:b/>
          <w:sz w:val="22"/>
        </w:rPr>
        <w:t>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: indicaciones geográficas de productos artesanales e industriales, aplicable desde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SUBSECTOR DE MUEBLES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Descripción y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productos: cocina y baño, hogar, jardín, oficina, somieres y colchones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Peso (EEE INE 2024): ~</w:t>
      </w:r>
      <w:r>
        <w:rPr>
          <w:rFonts w:ascii="Cambria" w:hAnsi="Cambria" w:cs="Cambria" w:eastAsia="Cambria"/>
          <w:b/>
          <w:sz w:val="22"/>
        </w:rPr>
        <w:t>1 %</w:t>
      </w:r>
      <w:r>
        <w:rPr>
          <w:rFonts w:ascii="Cambria" w:hAnsi="Cambria" w:cs="Cambria" w:eastAsia="Cambria"/>
          <w:sz w:val="22"/>
        </w:rPr>
        <w:t xml:space="preserve"> de la producción industrial, </w:t>
      </w:r>
      <w:r>
        <w:rPr>
          <w:rFonts w:ascii="Cambria" w:hAnsi="Cambria" w:cs="Cambria" w:eastAsia="Cambria"/>
          <w:b/>
          <w:sz w:val="22"/>
        </w:rPr>
        <w:t>1,4 %</w:t>
      </w:r>
      <w:r>
        <w:rPr>
          <w:rFonts w:ascii="Cambria" w:hAnsi="Cambria" w:cs="Cambria" w:eastAsia="Cambria"/>
          <w:sz w:val="22"/>
        </w:rPr>
        <w:t xml:space="preserve"> del VAB, </w:t>
      </w:r>
      <w:r>
        <w:rPr>
          <w:rFonts w:ascii="Cambria" w:hAnsi="Cambria" w:cs="Cambria" w:eastAsia="Cambria"/>
          <w:b/>
          <w:sz w:val="22"/>
        </w:rPr>
        <w:t>2,6 %</w:t>
      </w:r>
      <w:r>
        <w:rPr>
          <w:rFonts w:ascii="Cambria" w:hAnsi="Cambria" w:cs="Cambria" w:eastAsia="Cambria"/>
          <w:sz w:val="22"/>
        </w:rPr>
        <w:t xml:space="preserve"> del empleo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Déficit comercial estructural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2025: más de </w:t>
      </w:r>
      <w:r>
        <w:rPr>
          <w:rFonts w:ascii="Cambria" w:hAnsi="Cambria" w:cs="Cambria" w:eastAsia="Cambria"/>
          <w:b/>
          <w:sz w:val="22"/>
        </w:rPr>
        <w:t>3.200 M€</w:t>
      </w:r>
      <w:r>
        <w:rPr>
          <w:rFonts w:ascii="Cambria" w:hAnsi="Cambria" w:cs="Cambria" w:eastAsia="Cambria"/>
          <w:sz w:val="22"/>
        </w:rPr>
        <w:t>, a UE (Francia, Portugal, Alemania, Italia), EEUU y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Importaciones: </w:t>
      </w:r>
      <w:r>
        <w:rPr>
          <w:rFonts w:ascii="Cambria" w:hAnsi="Cambria" w:cs="Cambria" w:eastAsia="Cambria"/>
          <w:b/>
          <w:sz w:val="22"/>
        </w:rPr>
        <w:t>4.500 M€</w:t>
      </w:r>
      <w:r>
        <w:rPr>
          <w:rFonts w:ascii="Cambria" w:hAnsi="Cambria" w:cs="Cambria" w:eastAsia="Cambria"/>
          <w:sz w:val="22"/>
        </w:rPr>
        <w:t>, ~un tercio de China, seguida de Portugal, Marruecos, Italia y Alemania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Mundo: China primer productor y exportador, Italia primer exportador europeo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Comunidad Valenciana, Cataluña, Andalucía y Madrid, </w:t>
      </w:r>
      <w:r>
        <w:rPr>
          <w:rFonts w:ascii="Cambria" w:hAnsi="Cambria" w:cs="Cambria" w:eastAsia="Cambria"/>
          <w:b/>
          <w:sz w:val="22"/>
        </w:rPr>
        <w:t>99,9 %</w:t>
      </w:r>
      <w:r>
        <w:rPr>
          <w:rFonts w:ascii="Cambria" w:hAnsi="Cambria" w:cs="Cambria" w:eastAsia="Cambria"/>
          <w:sz w:val="22"/>
        </w:rPr>
        <w:t xml:space="preserve">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Evolución hacia actividad basada en conocimiento y dirigida por mercados: diseño, sostenibilidad, nuevos mercados frente a la presión asiática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Ligado a construcción e inmobiliario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ANIEME</w:t>
      </w:r>
      <w:r>
        <w:rPr>
          <w:rFonts w:ascii="Cambria" w:hAnsi="Cambria" w:cs="Cambria" w:eastAsia="Cambria"/>
          <w:sz w:val="22"/>
        </w:rPr>
        <w:t>: defensa y promoción del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Sostenibilidad como factor competitivo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EUDR (UE 2023/1115)</w:t>
      </w:r>
      <w:r>
        <w:rPr>
          <w:rFonts w:ascii="Cambria" w:hAnsi="Cambria" w:cs="Cambria" w:eastAsia="Cambria"/>
          <w:sz w:val="22"/>
        </w:rPr>
        <w:t xml:space="preserve"> y EUTR: trazabilidad de la madera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ESPR (UE 2024/1781)</w:t>
      </w:r>
      <w:r>
        <w:rPr>
          <w:rFonts w:ascii="Cambria" w:hAnsi="Cambria" w:cs="Cambria" w:eastAsia="Cambria"/>
          <w:sz w:val="22"/>
        </w:rPr>
        <w:t xml:space="preserve">: deroga Ecodiseño, mobiliario grupo prioritario, </w:t>
      </w:r>
      <w:r>
        <w:rPr>
          <w:rFonts w:ascii="Cambria" w:hAnsi="Cambria" w:cs="Cambria" w:eastAsia="Cambria"/>
          <w:b/>
          <w:sz w:val="22"/>
        </w:rPr>
        <w:t>DPP</w:t>
      </w:r>
      <w:r>
        <w:rPr>
          <w:rFonts w:ascii="Cambria" w:hAnsi="Cambria" w:cs="Cambria" w:eastAsia="Cambria"/>
          <w:sz w:val="22"/>
        </w:rPr>
        <w:t>, durabilidad, reparabilidad y contenido reciclado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Normativa aplicable a muebles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Sin directiva específica de producto, normativa general y normas técnicas </w:t>
      </w:r>
      <w:r>
        <w:rPr>
          <w:rFonts w:ascii="Cambria" w:hAnsi="Cambria" w:cs="Cambria" w:eastAsia="Cambria"/>
          <w:b/>
          <w:sz w:val="22"/>
        </w:rPr>
        <w:t>AENOR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</w:t>
      </w:r>
      <w:r>
        <w:rPr>
          <w:rFonts w:ascii="Cambria" w:hAnsi="Cambria" w:cs="Cambria" w:eastAsia="Cambria"/>
          <w:sz w:val="22"/>
        </w:rPr>
        <w:t>: marco transversal de seguridad, deberes de operadores y plataformas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1801/2003</w:t>
      </w:r>
      <w:r>
        <w:rPr>
          <w:rFonts w:ascii="Cambria" w:hAnsi="Cambria" w:cs="Cambria" w:eastAsia="Cambria"/>
          <w:sz w:val="22"/>
        </w:rPr>
        <w:t>: sin efecto jurídico autónomo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 y Orden PJC/161/2026</w:t>
      </w:r>
      <w:r>
        <w:rPr>
          <w:rFonts w:ascii="Cambria" w:hAnsi="Cambria" w:cs="Cambria" w:eastAsia="Cambria"/>
          <w:sz w:val="22"/>
        </w:rPr>
        <w:t>: muebles y madera sujetos a control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Orden PRE/735/2010 derogada y CONFEMADERA sin actividad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841/1985</w:t>
      </w:r>
      <w:r>
        <w:rPr>
          <w:rFonts w:ascii="Cambria" w:hAnsi="Cambria" w:cs="Cambria" w:eastAsia="Cambria"/>
          <w:sz w:val="22"/>
        </w:rPr>
        <w:t>: tableros de partículas y contrachapados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2023/1464</w:t>
      </w:r>
      <w:r>
        <w:rPr>
          <w:rFonts w:ascii="Cambria" w:hAnsi="Cambria" w:cs="Cambria" w:eastAsia="Cambria"/>
          <w:sz w:val="22"/>
        </w:rPr>
        <w:t xml:space="preserve"> (REACH, Anexo XVII): formaldehído de clase E1 (</w:t>
      </w:r>
      <w:r>
        <w:rPr>
          <w:rFonts w:ascii="Cambria" w:hAnsi="Cambria" w:cs="Cambria" w:eastAsia="Cambria"/>
          <w:b/>
          <w:sz w:val="22"/>
        </w:rPr>
        <w:t>0,124 mg/m³</w:t>
      </w:r>
      <w:r>
        <w:rPr>
          <w:rFonts w:ascii="Cambria" w:hAnsi="Cambria" w:cs="Cambria" w:eastAsia="Cambria"/>
          <w:sz w:val="22"/>
        </w:rPr>
        <w:t>) a E05 (</w:t>
      </w:r>
      <w:r>
        <w:rPr>
          <w:rFonts w:ascii="Cambria" w:hAnsi="Cambria" w:cs="Cambria" w:eastAsia="Cambria"/>
          <w:b/>
          <w:sz w:val="22"/>
        </w:rPr>
        <w:t>0,062 mg/m³</w:t>
      </w:r>
      <w:r>
        <w:rPr>
          <w:rFonts w:ascii="Cambria" w:hAnsi="Cambria" w:cs="Cambria" w:eastAsia="Cambria"/>
          <w:sz w:val="22"/>
        </w:rPr>
        <w:t xml:space="preserve">), aplicable desde el </w:t>
      </w:r>
      <w:r>
        <w:rPr>
          <w:rFonts w:ascii="Cambria" w:hAnsi="Cambria" w:cs="Cambria" w:eastAsia="Cambria"/>
          <w:b/>
          <w:sz w:val="22"/>
        </w:rPr>
        <w:t>6 de agosto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412/2012</w:t>
      </w:r>
      <w:r>
        <w:rPr>
          <w:rFonts w:ascii="Cambria" w:hAnsi="Cambria" w:cs="Cambria" w:eastAsia="Cambria"/>
          <w:sz w:val="22"/>
        </w:rPr>
        <w:t>: límites de dimetilfumarato (DMF)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EUDR</w:t>
      </w:r>
      <w:r>
        <w:rPr>
          <w:rFonts w:ascii="Cambria" w:hAnsi="Cambria" w:cs="Cambria" w:eastAsia="Cambria"/>
          <w:sz w:val="22"/>
        </w:rPr>
        <w:t xml:space="preserve"> (trazabilidad) y </w:t>
      </w:r>
      <w:r>
        <w:rPr>
          <w:rFonts w:ascii="Cambria" w:hAnsi="Cambria" w:cs="Cambria" w:eastAsia="Cambria"/>
          <w:b/>
          <w:sz w:val="22"/>
        </w:rPr>
        <w:t>ESPR</w:t>
      </w:r>
      <w:r>
        <w:rPr>
          <w:rFonts w:ascii="Cambria" w:hAnsi="Cambria" w:cs="Cambria" w:eastAsia="Cambria"/>
          <w:sz w:val="22"/>
        </w:rPr>
        <w:t xml:space="preserve"> (requisitos por actos delegados)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Etiquetado de muebles importados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Según Real Decreto 330/2008 y Orden PJC/161/2026: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Nombre o razón social y dirección postal del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Referencia del modelo, trazable en factura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Cunas, moisés, tronas, literas: norma de cumplimiento y advertencias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Instrucciones de montaje y uso en castellano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Sin marcado CE</w:t>
      </w:r>
      <w:r>
        <w:rPr>
          <w:rFonts w:ascii="Cambria" w:hAnsi="Cambria" w:cs="Cambria" w:eastAsia="Cambria"/>
          <w:sz w:val="22"/>
        </w:rPr>
        <w:t>, salvo elementos motorizados (sillones relax, camas articuladas)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Mobiliario controlado por el SOIVRE (normas UNE de referencia)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Mobiliario infantil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Moisés y cunas balancín: UNE-EN 1130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Cunas: UNE-EN 716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Tronas: UNE-EN 14988 y cambiadores: UNE-EN 12221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Mobiliario de oficina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Silla de trabajo: UNE-EN 1335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Sillas de confidente: UNE-EN 16139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Mesas: UNE-EN 527 y archivo: UNE-EN 14073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Mobiliario para adultos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Literas: UNE-EN 747 (excluye plegables, camping, convertibles en sofá)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Camas abatibles: UNE-EN 1129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Taburetes de peldaños: UNE-EN 14183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Asientos alineados: UNE-EN 12727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Asientos de uso no doméstico: UNE-EN 16139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controlados</w:t>
      </w:r>
      <w:r>
        <w:rPr>
          <w:rFonts w:ascii="Cambria" w:hAnsi="Cambria" w:cs="Cambria" w:eastAsia="Cambria"/>
          <w:sz w:val="22"/>
        </w:rPr>
        <w:t>: asientos médicos/ortopédicos, sillones de masaje, mesas (salvo oficina de metal o madera)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Inspección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Procedimiento del Real Decreto 330/2008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Notificación telemática del importador a la DT o DP Comercio con antelación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de riesgo automatizado de la Secretaría de Estado de Comercio decide control documental o físico, previo al despacho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Calificación: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Conforme</w:t>
      </w:r>
      <w:r>
        <w:rPr>
          <w:rFonts w:ascii="Cambria" w:hAnsi="Cambria" w:cs="Cambria" w:eastAsia="Cambria"/>
          <w:sz w:val="22"/>
        </w:rPr>
        <w:t>: Certificado de Conformidad SOIVRE, la aduana libera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conforme</w:t>
      </w:r>
      <w:r>
        <w:rPr>
          <w:rFonts w:ascii="Cambria" w:hAnsi="Cambria" w:cs="Cambria" w:eastAsia="Cambria"/>
          <w:sz w:val="22"/>
        </w:rPr>
        <w:t>: sin documento, reexportación o destrucción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Despacho condicionado</w:t>
      </w:r>
      <w:r>
        <w:rPr>
          <w:rFonts w:ascii="Cambria" w:hAnsi="Cambria" w:cs="Cambria" w:eastAsia="Cambria"/>
          <w:sz w:val="22"/>
        </w:rPr>
        <w:t>: incumplimientos subsanables (etiquetado, manuales en castellano), compromiso firmado del importador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Subsanables peligrosas: corrección en recinto aduanero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Subsanables no peligrosas: en almacén del importador, bajo supervisión de la AVM autonómica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Sin norma obligatoria o incompleta: normas nacionales, normas europeas no armonizadas, UNE, recomendaciones de la Comisión y códigos de buenas prácticas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ELECTRODOMÉSTICOS Y ELECTRÓNICA DE CONSUMO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 y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categorías: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Línea blanca</w:t>
      </w:r>
      <w:r>
        <w:rPr>
          <w:rFonts w:ascii="Cambria" w:hAnsi="Cambria" w:cs="Cambria" w:eastAsia="Cambria"/>
          <w:sz w:val="22"/>
        </w:rPr>
        <w:t>: frío, lavado, cocción, climatización, impulsada por el encastre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Electrónica de consumo (línea marrón)</w:t>
      </w:r>
      <w:r>
        <w:rPr>
          <w:rFonts w:ascii="Cambria" w:hAnsi="Cambria" w:cs="Cambria" w:eastAsia="Cambria"/>
          <w:sz w:val="22"/>
        </w:rPr>
        <w:t>: televisores, audio y vídeo, cámaras, instrumentos musicales, con pantalla plana, 4K/8K, streaming, smart home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PAE</w:t>
      </w:r>
      <w:r>
        <w:rPr>
          <w:rFonts w:ascii="Cambria" w:hAnsi="Cambria" w:cs="Cambria" w:eastAsia="Cambria"/>
          <w:sz w:val="22"/>
        </w:rPr>
        <w:t xml:space="preserve"> (pequeño aparato electrodoméstico): mantenimiento del hogar, preparación de alimentos, higiene y belleza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inspección SOIVRE en frontera (RoHS/RAEE)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físico de AEEs: etiquetado y ausencia de sustancias restringidas (Real Decreto 219/2013)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documental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inscripción en el RII y declaraciones trimestrales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Producción mundial: UE, EEUU y Japón, con China emergente en línea marrón y PAE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Multinacionales: BSH, Electrolux, Whirlpool, Miele, Samsung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España: BSH (Balay), Electrolux, Amica (adquirió Fagor)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Déficit estructural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estrella: frigorífico (casi la mitad), lavadoras y planchas, hacia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de China, Alemania y Turquía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Obsolescencia programada y derecho a la reparación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Obsolescencia programada</w:t>
      </w:r>
      <w:r>
        <w:rPr>
          <w:rFonts w:ascii="Cambria" w:hAnsi="Cambria" w:cs="Cambria" w:eastAsia="Cambria"/>
          <w:sz w:val="22"/>
        </w:rPr>
        <w:t xml:space="preserve">: fin de vida útil determinado de antemano, genera ingente cantidad de </w:t>
      </w:r>
      <w:r>
        <w:rPr>
          <w:rFonts w:ascii="Cambria" w:hAnsi="Cambria" w:cs="Cambria" w:eastAsia="Cambria"/>
          <w:b/>
          <w:sz w:val="22"/>
        </w:rPr>
        <w:t>RAEE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ESPR (UE 2024/1781)</w:t>
      </w:r>
      <w:r>
        <w:rPr>
          <w:rFonts w:ascii="Cambria" w:hAnsi="Cambria" w:cs="Cambria" w:eastAsia="Cambria"/>
          <w:sz w:val="22"/>
        </w:rPr>
        <w:t xml:space="preserve"> y derecho a la reparación en la </w:t>
      </w:r>
      <w:r>
        <w:rPr>
          <w:rFonts w:ascii="Cambria" w:hAnsi="Cambria" w:cs="Cambria" w:eastAsia="Cambria"/>
          <w:b/>
          <w:sz w:val="22"/>
        </w:rPr>
        <w:t>Directiva (UE) 2024/1799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Reparación a precios razonables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Piezas de repuesto al menos </w:t>
      </w:r>
      <w:r>
        <w:rPr>
          <w:rFonts w:ascii="Cambria" w:hAnsi="Cambria" w:cs="Cambria" w:eastAsia="Cambria"/>
          <w:b/>
          <w:sz w:val="22"/>
        </w:rPr>
        <w:t>10 años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Eficiencia energética y diseño ecológico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2017/1369</w:t>
      </w:r>
      <w:r>
        <w:rPr>
          <w:rFonts w:ascii="Cambria" w:hAnsi="Cambria" w:cs="Cambria" w:eastAsia="Cambria"/>
          <w:sz w:val="22"/>
        </w:rPr>
        <w:t>: etiquetado energético, escala A a 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Reglamentos delegados (2019-2021): frigoríficos, lavadoras, lavavajillas, secadoras y televisores, aplicables desde marzo de 2021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2009/125/CE</w:t>
      </w:r>
      <w:r>
        <w:rPr>
          <w:rFonts w:ascii="Cambria" w:hAnsi="Cambria" w:cs="Cambria" w:eastAsia="Cambria"/>
          <w:sz w:val="22"/>
        </w:rPr>
        <w:t xml:space="preserve"> Ecodiseño: sustituida por la </w:t>
      </w:r>
      <w:r>
        <w:rPr>
          <w:rFonts w:ascii="Cambria" w:hAnsi="Cambria" w:cs="Cambria" w:eastAsia="Cambria"/>
          <w:b/>
          <w:sz w:val="22"/>
        </w:rPr>
        <w:t>ESPR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ESPR</w:t>
      </w:r>
      <w:r>
        <w:rPr>
          <w:rFonts w:ascii="Cambria" w:hAnsi="Cambria" w:cs="Cambria" w:eastAsia="Cambria"/>
          <w:sz w:val="22"/>
        </w:rPr>
        <w:t>: durabilidad, reparabilidad, actualizabilidad del software, material reciclado, DPP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RENOVE de Electrodomésticos</w:t>
      </w:r>
      <w:r>
        <w:rPr>
          <w:rFonts w:ascii="Cambria" w:hAnsi="Cambria" w:cs="Cambria" w:eastAsia="Cambria"/>
          <w:sz w:val="22"/>
        </w:rPr>
        <w:t xml:space="preserve"> (MINCOTUR/IDAE y CCAA): sustituir 2 millones de unidades por clase A o superior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Residuos y sustancias peligrosas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Real Decreto 110/2015</w:t>
      </w:r>
      <w:r>
        <w:rPr>
          <w:rFonts w:ascii="Cambria" w:hAnsi="Cambria" w:cs="Cambria" w:eastAsia="Cambria"/>
          <w:sz w:val="22"/>
        </w:rPr>
        <w:t xml:space="preserve"> RAEE: transpone la Directiva 2012/19/UE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2011/65/UE RoHS y Real Decreto 219/2013</w:t>
      </w:r>
      <w:r>
        <w:rPr>
          <w:rFonts w:ascii="Cambria" w:hAnsi="Cambria" w:cs="Cambria" w:eastAsia="Cambria"/>
          <w:sz w:val="22"/>
        </w:rPr>
        <w:t xml:space="preserve">: plomo y mercurio máx. </w:t>
      </w:r>
      <w:r>
        <w:rPr>
          <w:rFonts w:ascii="Cambria" w:hAnsi="Cambria" w:cs="Cambria" w:eastAsia="Cambria"/>
          <w:b/>
          <w:sz w:val="22"/>
        </w:rPr>
        <w:t>0,1 %</w:t>
      </w:r>
      <w:r>
        <w:rPr>
          <w:rFonts w:ascii="Cambria" w:hAnsi="Cambria" w:cs="Cambria" w:eastAsia="Cambria"/>
          <w:sz w:val="22"/>
        </w:rPr>
        <w:t xml:space="preserve">, cadmio máx. </w:t>
      </w:r>
      <w:r>
        <w:rPr>
          <w:rFonts w:ascii="Cambria" w:hAnsi="Cambria" w:cs="Cambria" w:eastAsia="Cambria"/>
          <w:b/>
          <w:sz w:val="22"/>
        </w:rPr>
        <w:t>0,01 %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Compatibilidad electromagnética y baja tensión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2014/35/UE</w:t>
      </w:r>
      <w:r>
        <w:rPr>
          <w:rFonts w:ascii="Cambria" w:hAnsi="Cambria" w:cs="Cambria" w:eastAsia="Cambria"/>
          <w:sz w:val="22"/>
        </w:rPr>
        <w:t xml:space="preserve"> Baja Tensión (Real Decreto 187/2016)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Directiva 2014/30/UE</w:t>
      </w:r>
      <w:r>
        <w:rPr>
          <w:rFonts w:ascii="Cambria" w:hAnsi="Cambria" w:cs="Cambria" w:eastAsia="Cambria"/>
          <w:sz w:val="22"/>
        </w:rPr>
        <w:t xml:space="preserve"> CEM (Real Decreto 186/2016)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OTROS BIENES DE CONSUMO DURADERO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Incluye óptica y fotografía, relojes, motocicletas y bicicletas, joyería, orfebrería y platería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Joyería, orfebrería y relojería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Mano de obra especializada, exportaciones ~</w:t>
      </w:r>
      <w:r>
        <w:rPr>
          <w:rFonts w:ascii="Cambria" w:hAnsi="Cambria" w:cs="Cambria" w:eastAsia="Cambria"/>
          <w:b/>
          <w:sz w:val="22"/>
        </w:rPr>
        <w:t>20 %</w:t>
      </w:r>
      <w:r>
        <w:rPr>
          <w:rFonts w:ascii="Cambria" w:hAnsi="Cambria" w:cs="Cambria" w:eastAsia="Cambria"/>
          <w:sz w:val="22"/>
        </w:rPr>
        <w:t xml:space="preserve"> de la fabricación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Regiones: Córdoba (plata), Valencia, Madrid, Barcelona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Empresas: Festina, Lotus, Calypso, Carrera, Tous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Saldo deficitario de ~</w:t>
      </w:r>
      <w:r>
        <w:rPr>
          <w:rFonts w:ascii="Cambria" w:hAnsi="Cambria" w:cs="Cambria" w:eastAsia="Cambria"/>
          <w:b/>
          <w:sz w:val="22"/>
        </w:rPr>
        <w:t>-1.500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Importaciones: ~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de China, después Alemania, Italia y Francia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Exportaciones diversificadas, sobre todo a Francia, Portugal y Alemania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Motocicletas y bicicletas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Motocicletas de </w:t>
      </w:r>
      <w:r>
        <w:rPr>
          <w:rFonts w:ascii="Cambria" w:hAnsi="Cambria" w:cs="Cambria" w:eastAsia="Cambria"/>
          <w:b/>
          <w:sz w:val="22"/>
        </w:rPr>
        <w:t>125 cc</w:t>
      </w:r>
      <w:r>
        <w:rPr>
          <w:rFonts w:ascii="Cambria" w:hAnsi="Cambria" w:cs="Cambria" w:eastAsia="Cambria"/>
          <w:sz w:val="22"/>
        </w:rPr>
        <w:t xml:space="preserve"> en auge: carnet de turismo con más de 3 años y supresión del impuesto de matriculación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Bicicleta eléctrica</w:t>
      </w:r>
      <w:r>
        <w:rPr>
          <w:rFonts w:ascii="Cambria" w:hAnsi="Cambria" w:cs="Cambria" w:eastAsia="Cambria"/>
          <w:sz w:val="22"/>
        </w:rPr>
        <w:t>: crecimiento explosivo por congestión urbana, movilidad sostenible y subvenciones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España, mercado consumidor y productor emergente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aplicable a otros bienes de consumo duradero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RDL 1/2007 (TRLGDCU)</w:t>
      </w:r>
      <w:r>
        <w:rPr>
          <w:rFonts w:ascii="Cambria" w:hAnsi="Cambria" w:cs="Cambria" w:eastAsia="Cambria"/>
          <w:sz w:val="22"/>
        </w:rPr>
        <w:t>: conformidad del bien con lo ofrecido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2019/771 y RDL 7/2021</w:t>
      </w:r>
      <w:r>
        <w:rPr>
          <w:rFonts w:ascii="Cambria" w:hAnsi="Cambria" w:cs="Cambria" w:eastAsia="Cambria"/>
          <w:sz w:val="22"/>
        </w:rPr>
        <w:t xml:space="preserve">: garantía legal de </w:t>
      </w:r>
      <w:r>
        <w:rPr>
          <w:rFonts w:ascii="Cambria" w:hAnsi="Cambria" w:cs="Cambria" w:eastAsia="Cambria"/>
          <w:b/>
          <w:sz w:val="22"/>
        </w:rPr>
        <w:t>3 años</w:t>
      </w:r>
      <w:r>
        <w:rPr>
          <w:rFonts w:ascii="Cambria" w:hAnsi="Cambria" w:cs="Cambria" w:eastAsia="Cambria"/>
          <w:sz w:val="22"/>
        </w:rPr>
        <w:t>, reparar o sustituir sin cargo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RGSP (UE 2023/988)</w:t>
      </w:r>
      <w:r>
        <w:rPr>
          <w:rFonts w:ascii="Cambria" w:hAnsi="Cambria" w:cs="Cambria" w:eastAsia="Cambria"/>
          <w:sz w:val="22"/>
        </w:rPr>
        <w:t>: bicicletas, relojes y joyería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ESPR</w:t>
      </w:r>
      <w:r>
        <w:rPr>
          <w:rFonts w:ascii="Cambria" w:hAnsi="Cambria" w:cs="Cambria" w:eastAsia="Cambria"/>
          <w:sz w:val="22"/>
        </w:rPr>
        <w:t>: durabilidad y reparabilidad de e-bikes por actos delegados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</w:t>
      </w:r>
      <w:r>
        <w:rPr>
          <w:rFonts w:ascii="Cambria" w:hAnsi="Cambria" w:cs="Cambria" w:eastAsia="Cambria"/>
          <w:sz w:val="22"/>
        </w:rPr>
        <w:t>: cadmio, plomo y níquel en joyería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197/1988</w:t>
      </w:r>
      <w:r>
        <w:rPr>
          <w:rFonts w:ascii="Cambria" w:hAnsi="Cambria" w:cs="Cambria" w:eastAsia="Cambria"/>
          <w:sz w:val="22"/>
        </w:rPr>
        <w:t>: metales preciosos, marcaje, contraste y trazabilidad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Competencia internacional (asiática) y exigencias de seguridad y sostenibilidad: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como barrera de control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 xml:space="preserve"> amplía el ámbito: asientos y cunas infantiles, escaleras portátiles, calefactores eléctricos, mobiliario de oficina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Futuro: diseño ecológico, reparabilidad, trazabilidad documental, digitalización y plataformas de venta a distancia refuerzan el papel del SOIVRE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18 – Sector de bienes de consumo duradero: muebles, electrodomésticos y electrónica de consumo.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18 – Sector de bienes de consumo duradero: muebles, electrodomésticos y electrónica de consumo.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