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Estructura productiva</w:t>
      </w:r>
      <w:r>
        <w:rPr>
          <w:rFonts w:ascii="Cambria" w:hAnsi="Cambria" w:cs="Cambria" w:eastAsia="Cambria"/>
          <w:sz w:val="22"/>
        </w:rPr>
        <w:t xml:space="preserve"> de los años 60: sectores tradicionales intensivos en mano de obra, dependencia energética y tecnológica, muchas pymes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Entrada en la CEE (1986)</w:t>
      </w:r>
      <w:r>
        <w:rPr>
          <w:rFonts w:ascii="Cambria" w:hAnsi="Cambria" w:cs="Cambria" w:eastAsia="Cambria"/>
          <w:sz w:val="22"/>
        </w:rPr>
        <w:t>: reconversión industrial, Mercado Único, liberalización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Sector secundario: </w:t>
      </w:r>
      <w:r>
        <w:rPr>
          <w:rFonts w:ascii="Cambria" w:hAnsi="Cambria" w:cs="Cambria" w:eastAsia="Cambria"/>
          <w:b/>
          <w:sz w:val="22"/>
        </w:rPr>
        <w:t>14,2 % del PIB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15,6 % del VAB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11,4 % del empleo</w:t>
      </w:r>
      <w:r>
        <w:rPr>
          <w:rFonts w:ascii="Cambria" w:hAnsi="Cambria" w:cs="Cambria" w:eastAsia="Cambria"/>
          <w:sz w:val="22"/>
        </w:rPr>
        <w:t xml:space="preserve"> (SGEAPA del MINTUR, 2025)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Manufacturas de consumo</w:t>
      </w:r>
      <w:r>
        <w:rPr>
          <w:rFonts w:ascii="Cambria" w:hAnsi="Cambria" w:cs="Cambria" w:eastAsia="Cambria"/>
          <w:sz w:val="22"/>
        </w:rPr>
        <w:t>: textil y confección, calzado, EPIs, juguete y pequeño material eléctrico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Comercio exterior 2025 (DATACOMEX): exportaciones </w:t>
      </w:r>
      <w:r>
        <w:rPr>
          <w:rFonts w:ascii="Cambria" w:hAnsi="Cambria" w:cs="Cambria" w:eastAsia="Cambria"/>
          <w:b/>
          <w:sz w:val="22"/>
        </w:rPr>
        <w:t>9,1 %</w:t>
      </w:r>
      <w:r>
        <w:rPr>
          <w:rFonts w:ascii="Cambria" w:hAnsi="Cambria" w:cs="Cambria" w:eastAsia="Cambria"/>
          <w:sz w:val="22"/>
        </w:rPr>
        <w:t xml:space="preserve"> del total, importaciones </w:t>
      </w:r>
      <w:r>
        <w:rPr>
          <w:rFonts w:ascii="Cambria" w:hAnsi="Cambria" w:cs="Cambria" w:eastAsia="Cambria"/>
          <w:b/>
          <w:sz w:val="22"/>
        </w:rPr>
        <w:t>11,4 %</w:t>
      </w:r>
      <w:r>
        <w:rPr>
          <w:rFonts w:ascii="Cambria" w:hAnsi="Cambria" w:cs="Cambria" w:eastAsia="Cambria"/>
          <w:sz w:val="22"/>
        </w:rPr>
        <w:t>, déficit estructural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1.1. Legislación general del sector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Competencia normativa: </w:t>
      </w:r>
      <w:r>
        <w:rPr>
          <w:rFonts w:ascii="Cambria" w:hAnsi="Cambria" w:cs="Cambria" w:eastAsia="Cambria"/>
          <w:b/>
          <w:sz w:val="22"/>
        </w:rPr>
        <w:t>SG de Calidad y Seguridad Industrial</w:t>
      </w:r>
      <w:r>
        <w:rPr>
          <w:rFonts w:ascii="Cambria" w:hAnsi="Cambria" w:cs="Cambria" w:eastAsia="Cambria"/>
          <w:sz w:val="22"/>
        </w:rPr>
        <w:t xml:space="preserve"> del MINTUR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Base industrial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21/1992</w:t>
      </w:r>
      <w:r>
        <w:rPr>
          <w:rFonts w:ascii="Cambria" w:hAnsi="Cambria" w:cs="Cambria" w:eastAsia="Cambria"/>
          <w:sz w:val="22"/>
        </w:rPr>
        <w:t>, de Industria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559/2010</w:t>
      </w:r>
      <w:r>
        <w:rPr>
          <w:rFonts w:ascii="Cambria" w:hAnsi="Cambria" w:cs="Cambria" w:eastAsia="Cambria"/>
          <w:sz w:val="22"/>
        </w:rPr>
        <w:t>, Registro Integrado Industrial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1072/2015</w:t>
      </w:r>
      <w:r>
        <w:rPr>
          <w:rFonts w:ascii="Cambria" w:hAnsi="Cambria" w:cs="Cambria" w:eastAsia="Cambria"/>
          <w:sz w:val="22"/>
        </w:rPr>
        <w:t xml:space="preserve">, Infraestructura para la Calidad y la Seguridad Industrial: </w:t>
      </w:r>
      <w:r>
        <w:rPr>
          <w:rFonts w:ascii="Cambria" w:hAnsi="Cambria" w:cs="Cambria" w:eastAsia="Cambria"/>
          <w:b/>
          <w:sz w:val="22"/>
        </w:rPr>
        <w:t>AENOR</w:t>
      </w:r>
      <w:r>
        <w:rPr>
          <w:rFonts w:ascii="Cambria" w:hAnsi="Cambria" w:cs="Cambria" w:eastAsia="Cambria"/>
          <w:sz w:val="22"/>
        </w:rPr>
        <w:t xml:space="preserve"> normalización, </w:t>
      </w:r>
      <w:r>
        <w:rPr>
          <w:rFonts w:ascii="Cambria" w:hAnsi="Cambria" w:cs="Cambria" w:eastAsia="Cambria"/>
          <w:b/>
          <w:sz w:val="22"/>
        </w:rPr>
        <w:t>ENAC</w:t>
      </w:r>
      <w:r>
        <w:rPr>
          <w:rFonts w:ascii="Cambria" w:hAnsi="Cambria" w:cs="Cambria" w:eastAsia="Cambria"/>
          <w:sz w:val="22"/>
        </w:rPr>
        <w:t xml:space="preserve"> acreditación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Etiquetado y sustancias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1468/1988</w:t>
      </w:r>
      <w:r>
        <w:rPr>
          <w:rFonts w:ascii="Cambria" w:hAnsi="Cambria" w:cs="Cambria" w:eastAsia="Cambria"/>
          <w:sz w:val="22"/>
        </w:rPr>
        <w:t>, etiquetado de productos industriales sin norma específica: real, veraz, fácil de entender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Datos mínimos: denominación, composición, plazo de uso, contenido neto, lote, empresa, origen, alérgenos, potencia, tensión y consumo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Exportación a terceros países no conforme: identificada por si va al mercado interior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1406/1989</w:t>
      </w:r>
      <w:r>
        <w:rPr>
          <w:rFonts w:ascii="Cambria" w:hAnsi="Cambria" w:cs="Cambria" w:eastAsia="Cambria"/>
          <w:sz w:val="22"/>
        </w:rPr>
        <w:t>, limitaciones de sustancias (benceno, amianto, dimetilfumarato, pentaclorofenol, termómetros de mercurio desde 2009)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Control en frontera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330/2008</w:t>
      </w:r>
      <w:r>
        <w:rPr>
          <w:rFonts w:ascii="Cambria" w:hAnsi="Cambria" w:cs="Cambria" w:eastAsia="Cambria"/>
          <w:sz w:val="22"/>
        </w:rPr>
        <w:t xml:space="preserve">: control de conformidad previo al despacho por el </w:t>
      </w: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>, a partir de riesgos detectados por RAPEX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Orden PJC/161/2026</w:t>
      </w:r>
      <w:r>
        <w:rPr>
          <w:rFonts w:ascii="Cambria" w:hAnsi="Cambria" w:cs="Cambria" w:eastAsia="Cambria"/>
          <w:sz w:val="22"/>
        </w:rPr>
        <w:t>: lista de productos controlados (drones, puericultura, textil, calzado, juguetes, EPIs, pequeño material eléctrico, muebles y derivados de madera)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993/2022</w:t>
      </w:r>
      <w:r>
        <w:rPr>
          <w:rFonts w:ascii="Cambria" w:hAnsi="Cambria" w:cs="Cambria" w:eastAsia="Cambria"/>
          <w:sz w:val="22"/>
        </w:rPr>
        <w:t>: control de AEE, pilas y acumuladores de terceros países en RoHS y Registro Integrado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Marco europeo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765/2008</w:t>
      </w:r>
      <w:r>
        <w:rPr>
          <w:rFonts w:ascii="Cambria" w:hAnsi="Cambria" w:cs="Cambria" w:eastAsia="Cambria"/>
          <w:sz w:val="22"/>
        </w:rPr>
        <w:t xml:space="preserve">: acreditación y marcado CE (Nuevo Enfoque: EPIs, juguetes, pequeño material eléctrico). Vigilancia de mercado sustituida por el </w:t>
      </w:r>
      <w:r>
        <w:rPr>
          <w:rFonts w:ascii="Cambria" w:hAnsi="Cambria" w:cs="Cambria" w:eastAsia="Cambria"/>
          <w:b/>
          <w:sz w:val="22"/>
        </w:rPr>
        <w:t>Reglamento (UE) 2019/1020</w:t>
      </w:r>
      <w:r>
        <w:rPr>
          <w:rFonts w:ascii="Cambria" w:hAnsi="Cambria" w:cs="Cambria" w:eastAsia="Cambria"/>
          <w:sz w:val="22"/>
        </w:rPr>
        <w:t>, que refuerza a las AVM y los controles a terceros países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2019/515</w:t>
      </w:r>
      <w:r>
        <w:rPr>
          <w:rFonts w:ascii="Cambria" w:hAnsi="Cambria" w:cs="Cambria" w:eastAsia="Cambria"/>
          <w:sz w:val="22"/>
        </w:rPr>
        <w:t>: reconocimiento mutuo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Decisión 768/2008/CE</w:t>
      </w:r>
      <w:r>
        <w:rPr>
          <w:rFonts w:ascii="Cambria" w:hAnsi="Cambria" w:cs="Cambria" w:eastAsia="Cambria"/>
          <w:sz w:val="22"/>
        </w:rPr>
        <w:t>: base del Nuevo Marco Legislativo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2023/988 (RGSP)</w:t>
      </w:r>
      <w:r>
        <w:rPr>
          <w:rFonts w:ascii="Cambria" w:hAnsi="Cambria" w:cs="Cambria" w:eastAsia="Cambria"/>
          <w:sz w:val="22"/>
        </w:rPr>
        <w:t xml:space="preserve">: deroga la Directiva 2001/95/CE, aplicable desde el </w:t>
      </w:r>
      <w:r>
        <w:rPr>
          <w:rFonts w:ascii="Cambria" w:hAnsi="Cambria" w:cs="Cambria" w:eastAsia="Cambria"/>
          <w:b/>
          <w:sz w:val="22"/>
        </w:rPr>
        <w:t>13 de diciembre de 2024</w:t>
      </w:r>
      <w:r>
        <w:rPr>
          <w:rFonts w:ascii="Cambria" w:hAnsi="Cambria" w:cs="Cambria" w:eastAsia="Cambria"/>
          <w:sz w:val="22"/>
        </w:rPr>
        <w:t xml:space="preserve">, refuerza </w:t>
      </w:r>
      <w:r>
        <w:rPr>
          <w:rFonts w:ascii="Cambria" w:hAnsi="Cambria" w:cs="Cambria" w:eastAsia="Cambria"/>
          <w:b/>
          <w:sz w:val="22"/>
        </w:rPr>
        <w:t>Safety Gate</w:t>
      </w:r>
      <w:r>
        <w:rPr>
          <w:rFonts w:ascii="Cambria" w:hAnsi="Cambria" w:cs="Cambria" w:eastAsia="Cambria"/>
          <w:sz w:val="22"/>
        </w:rPr>
        <w:t xml:space="preserve"> (sustituye a RAPEX) y mercados en línea. El </w:t>
      </w:r>
      <w:r>
        <w:rPr>
          <w:rFonts w:ascii="Cambria" w:hAnsi="Cambria" w:cs="Cambria" w:eastAsia="Cambria"/>
          <w:b/>
          <w:sz w:val="22"/>
        </w:rPr>
        <w:t>Real Decreto 1801/2003</w:t>
      </w:r>
      <w:r>
        <w:rPr>
          <w:rFonts w:ascii="Cambria" w:hAnsi="Cambria" w:cs="Cambria" w:eastAsia="Cambria"/>
          <w:sz w:val="22"/>
        </w:rPr>
        <w:t xml:space="preserve"> queda sin efecto autónomo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REACH (CE) 1907/2006</w:t>
      </w:r>
      <w:r>
        <w:rPr>
          <w:rFonts w:ascii="Cambria" w:hAnsi="Cambria" w:cs="Cambria" w:eastAsia="Cambria"/>
          <w:sz w:val="22"/>
        </w:rPr>
        <w:t xml:space="preserve">: restricciones del Anexo XVII, crea la </w:t>
      </w:r>
      <w:r>
        <w:rPr>
          <w:rFonts w:ascii="Cambria" w:hAnsi="Cambria" w:cs="Cambria" w:eastAsia="Cambria"/>
          <w:b/>
          <w:sz w:val="22"/>
        </w:rPr>
        <w:t>ECHA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2023/2411</w:t>
      </w:r>
      <w:r>
        <w:rPr>
          <w:rFonts w:ascii="Cambria" w:hAnsi="Cambria" w:cs="Cambria" w:eastAsia="Cambria"/>
          <w:sz w:val="22"/>
        </w:rPr>
        <w:t>: indicaciones geográficas de productos artesanales e industriales, aplicable desde 2025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SUBSECTOR DEL JUGUETE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Definición y ámbito de aplicación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Marco en transición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Directiva 2009/48/CE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Real Decreto 1205/2011</w:t>
      </w:r>
      <w:r>
        <w:rPr>
          <w:rFonts w:ascii="Cambria" w:hAnsi="Cambria" w:cs="Cambria" w:eastAsia="Cambria"/>
          <w:sz w:val="22"/>
        </w:rPr>
        <w:t>), vigente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2025/2509</w:t>
      </w:r>
      <w:r>
        <w:rPr>
          <w:rFonts w:ascii="Cambria" w:hAnsi="Cambria" w:cs="Cambria" w:eastAsia="Cambria"/>
          <w:sz w:val="22"/>
        </w:rPr>
        <w:t xml:space="preserve">: la sustituirá, aplicable desde el </w:t>
      </w:r>
      <w:r>
        <w:rPr>
          <w:rFonts w:ascii="Cambria" w:hAnsi="Cambria" w:cs="Cambria" w:eastAsia="Cambria"/>
          <w:b/>
          <w:sz w:val="22"/>
        </w:rPr>
        <w:t>1 de agosto de 2030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Juguete: producto diseñado o previsto, exclusivamente o no, para jugar por </w:t>
      </w:r>
      <w:r>
        <w:rPr>
          <w:rFonts w:ascii="Cambria" w:hAnsi="Cambria" w:cs="Cambria" w:eastAsia="Cambria"/>
          <w:b/>
          <w:sz w:val="22"/>
        </w:rPr>
        <w:t>menores de 14 años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elementos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Exclusivamente o no</w:t>
      </w:r>
      <w:r>
        <w:rPr>
          <w:rFonts w:ascii="Cambria" w:hAnsi="Cambria" w:cs="Cambria" w:eastAsia="Cambria"/>
          <w:sz w:val="22"/>
        </w:rPr>
        <w:t>: doble función también cumple las exigencias de juguetes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Fin de juego</w:t>
      </w:r>
      <w:r>
        <w:rPr>
          <w:rFonts w:ascii="Cambria" w:hAnsi="Cambria" w:cs="Cambria" w:eastAsia="Cambria"/>
          <w:sz w:val="22"/>
        </w:rPr>
        <w:t>: prevalece el uso esperado o previsible sobre la declaración del fabricante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Menores de 14 años</w:t>
      </w:r>
      <w:r>
        <w:rPr>
          <w:rFonts w:ascii="Cambria" w:hAnsi="Cambria" w:cs="Cambria" w:eastAsia="Cambria"/>
          <w:sz w:val="22"/>
        </w:rPr>
        <w:t>: edad límite de protección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Excluidos: decoración navideña, modelos a escala para adultos, equipamiento deportivo, rompecabezas grandes, fuegos artificiales, videojuegos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Indicadores para clasificar un producto como juguete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Para zonas grises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Valor de juego</w:t>
      </w:r>
      <w:r>
        <w:rPr>
          <w:rFonts w:ascii="Cambria" w:hAnsi="Cambria" w:cs="Cambria" w:eastAsia="Cambria"/>
          <w:sz w:val="22"/>
        </w:rPr>
        <w:t>: el más importante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Tamaño o talla (talla adulto no es juguete, complementario)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Punto de venta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Nivel de detalle de fabricación (alto, dirigido a adultos)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Publicidad y menciones en el envase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Operador que lo introduce (fabricante de juguetes)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Valor del producto (suelen ser más baratos)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Análisis sectorial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Pymes, </w:t>
      </w:r>
      <w:r>
        <w:rPr>
          <w:rFonts w:ascii="Cambria" w:hAnsi="Cambria" w:cs="Cambria" w:eastAsia="Cambria"/>
          <w:b/>
          <w:sz w:val="22"/>
        </w:rPr>
        <w:t>4.800</w:t>
      </w:r>
      <w:r>
        <w:rPr>
          <w:rFonts w:ascii="Cambria" w:hAnsi="Cambria" w:cs="Cambria" w:eastAsia="Cambria"/>
          <w:sz w:val="22"/>
        </w:rPr>
        <w:t xml:space="preserve"> trabajadores directos y más de </w:t>
      </w:r>
      <w:r>
        <w:rPr>
          <w:rFonts w:ascii="Cambria" w:hAnsi="Cambria" w:cs="Cambria" w:eastAsia="Cambria"/>
          <w:b/>
          <w:sz w:val="22"/>
        </w:rPr>
        <w:t>20.000</w:t>
      </w:r>
      <w:r>
        <w:rPr>
          <w:rFonts w:ascii="Cambria" w:hAnsi="Cambria" w:cs="Cambria" w:eastAsia="Cambria"/>
          <w:sz w:val="22"/>
        </w:rPr>
        <w:t xml:space="preserve"> indirectos (AEFJ)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Concentración y deslocalización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Producción en Comunidad Valenciana y Cataluña (</w:t>
      </w:r>
      <w:r>
        <w:rPr>
          <w:rFonts w:ascii="Cambria" w:hAnsi="Cambria" w:cs="Cambria" w:eastAsia="Cambria"/>
          <w:b/>
          <w:sz w:val="22"/>
        </w:rPr>
        <w:t>75 %</w:t>
      </w:r>
      <w:r>
        <w:rPr>
          <w:rFonts w:ascii="Cambria" w:hAnsi="Cambria" w:cs="Cambria" w:eastAsia="Cambria"/>
          <w:sz w:val="22"/>
        </w:rPr>
        <w:t>), Alicante y Grupo Famosa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Déficit estructural de más de </w:t>
      </w:r>
      <w:r>
        <w:rPr>
          <w:rFonts w:ascii="Cambria" w:hAnsi="Cambria" w:cs="Cambria" w:eastAsia="Cambria"/>
          <w:b/>
          <w:sz w:val="22"/>
        </w:rPr>
        <w:t>1.500 M€</w:t>
      </w:r>
      <w:r>
        <w:rPr>
          <w:rFonts w:ascii="Cambria" w:hAnsi="Cambria" w:cs="Cambria" w:eastAsia="Cambria"/>
          <w:sz w:val="22"/>
        </w:rPr>
        <w:t xml:space="preserve"> en 2025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Exportaciones: UE (Francia, Italia, Portugal), México y EEUU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Importaciones: </w:t>
      </w:r>
      <w:r>
        <w:rPr>
          <w:rFonts w:ascii="Cambria" w:hAnsi="Cambria" w:cs="Cambria" w:eastAsia="Cambria"/>
          <w:b/>
          <w:sz w:val="22"/>
        </w:rPr>
        <w:t>China</w:t>
      </w:r>
      <w:r>
        <w:rPr>
          <w:rFonts w:ascii="Cambria" w:hAnsi="Cambria" w:cs="Cambria" w:eastAsia="Cambria"/>
          <w:sz w:val="22"/>
        </w:rPr>
        <w:t>, Países Bajos, Alemania y Francia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Estacionalidad: </w:t>
      </w:r>
      <w:r>
        <w:rPr>
          <w:rFonts w:ascii="Cambria" w:hAnsi="Cambria" w:cs="Cambria" w:eastAsia="Cambria"/>
          <w:b/>
          <w:sz w:val="22"/>
        </w:rPr>
        <w:t>70-80 %</w:t>
      </w:r>
      <w:r>
        <w:rPr>
          <w:rFonts w:ascii="Cambria" w:hAnsi="Cambria" w:cs="Cambria" w:eastAsia="Cambria"/>
          <w:sz w:val="22"/>
        </w:rPr>
        <w:t xml:space="preserve"> del consumo en noviembre y diciembre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Respuesta a Asia: alto valor añadido, diseño y valor pedagógico. Un </w:t>
      </w:r>
      <w:r>
        <w:rPr>
          <w:rFonts w:ascii="Cambria" w:hAnsi="Cambria" w:cs="Cambria" w:eastAsia="Cambria"/>
          <w:b/>
          <w:sz w:val="22"/>
        </w:rPr>
        <w:t>60 %</w:t>
      </w:r>
      <w:r>
        <w:rPr>
          <w:rFonts w:ascii="Cambria" w:hAnsi="Cambria" w:cs="Cambria" w:eastAsia="Cambria"/>
          <w:sz w:val="22"/>
        </w:rPr>
        <w:t xml:space="preserve"> de juguetes nuevos cada año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Tendencias: venta en línea, STEM, educación emocional, sostenibilidad, mercado silver, juguetes conectados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ICEX</w:t>
      </w:r>
      <w:r>
        <w:rPr>
          <w:rFonts w:ascii="Cambria" w:hAnsi="Cambria" w:cs="Cambria" w:eastAsia="Cambria"/>
          <w:sz w:val="22"/>
        </w:rPr>
        <w:t xml:space="preserve">: iniciativa </w:t>
      </w:r>
      <w:r>
        <w:rPr>
          <w:rFonts w:ascii="Cambria" w:hAnsi="Cambria" w:cs="Cambria" w:eastAsia="Cambria"/>
          <w:b/>
          <w:sz w:val="22"/>
        </w:rPr>
        <w:t>Toys from Spain</w:t>
      </w:r>
      <w:r>
        <w:rPr>
          <w:rFonts w:ascii="Cambria" w:hAnsi="Cambria" w:cs="Cambria" w:eastAsia="Cambria"/>
          <w:sz w:val="22"/>
        </w:rPr>
        <w:t xml:space="preserve"> en mercados PASE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2.4.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2009/48/CE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Real Decreto 1205/2011</w:t>
      </w:r>
      <w:r>
        <w:rPr>
          <w:rFonts w:ascii="Cambria" w:hAnsi="Cambria" w:cs="Cambria" w:eastAsia="Cambria"/>
          <w:sz w:val="22"/>
        </w:rPr>
        <w:t>: requisitos esenciales y marcado CE, rigen las inspecciones. CMR limitadas al níquel y límites para menores de 36 meses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2025/2509</w:t>
      </w:r>
      <w:r>
        <w:rPr>
          <w:rFonts w:ascii="Cambria" w:hAnsi="Cambria" w:cs="Cambria" w:eastAsia="Cambria"/>
          <w:sz w:val="22"/>
        </w:rPr>
        <w:t>: obligatorio el 1 de agosto de 2030, deroga la Directiva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Pasaporte Digital de Producto, prohibiciones químicas (alteradores endocrinos), ciberseguridad y privacidad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REACH</w:t>
      </w:r>
      <w:r>
        <w:rPr>
          <w:rFonts w:ascii="Cambria" w:hAnsi="Cambria" w:cs="Cambria" w:eastAsia="Cambria"/>
          <w:sz w:val="22"/>
        </w:rPr>
        <w:t xml:space="preserve">: máximo </w:t>
      </w:r>
      <w:r>
        <w:rPr>
          <w:rFonts w:ascii="Cambria" w:hAnsi="Cambria" w:cs="Cambria" w:eastAsia="Cambria"/>
          <w:b/>
          <w:sz w:val="22"/>
        </w:rPr>
        <w:t>0,1 %</w:t>
      </w:r>
      <w:r>
        <w:rPr>
          <w:rFonts w:ascii="Cambria" w:hAnsi="Cambria" w:cs="Cambria" w:eastAsia="Cambria"/>
          <w:sz w:val="22"/>
        </w:rPr>
        <w:t xml:space="preserve"> de ftalatos en material plastificado susceptible de meterse en la boca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RGSP</w:t>
      </w:r>
      <w:r>
        <w:rPr>
          <w:rFonts w:ascii="Cambria" w:hAnsi="Cambria" w:cs="Cambria" w:eastAsia="Cambria"/>
          <w:sz w:val="22"/>
        </w:rPr>
        <w:t>: refuerza controles en línea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RDL 1/2007 (TRLGDCU)</w:t>
      </w:r>
      <w:r>
        <w:rPr>
          <w:rFonts w:ascii="Cambria" w:hAnsi="Cambria" w:cs="Cambria" w:eastAsia="Cambria"/>
          <w:sz w:val="22"/>
        </w:rPr>
        <w:t>: fabricantes e importadores responsables de la seguridad en toda la cadena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2.5. Normas armonizadas (inspección SOIVRE)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UNE-EN 71-1:2015+A1:2019</w:t>
      </w:r>
      <w:r>
        <w:rPr>
          <w:rFonts w:ascii="Cambria" w:hAnsi="Cambria" w:cs="Cambria" w:eastAsia="Cambria"/>
          <w:sz w:val="22"/>
        </w:rPr>
        <w:t xml:space="preserve">: propiedades mecánicas y físicas, norma fundamental (piezas, cordones, proyectiles con ventosa de </w:t>
      </w:r>
      <w:r>
        <w:rPr>
          <w:rFonts w:ascii="Cambria" w:hAnsi="Cambria" w:cs="Cambria" w:eastAsia="Cambria"/>
          <w:b/>
          <w:sz w:val="22"/>
        </w:rPr>
        <w:t>57 mm</w:t>
      </w:r>
      <w:r>
        <w:rPr>
          <w:rFonts w:ascii="Cambria" w:hAnsi="Cambria" w:cs="Cambria" w:eastAsia="Cambria"/>
          <w:sz w:val="22"/>
        </w:rPr>
        <w:t>, imanes)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UNE-EN 71-2:2021</w:t>
      </w:r>
      <w:r>
        <w:rPr>
          <w:rFonts w:ascii="Cambria" w:hAnsi="Cambria" w:cs="Cambria" w:eastAsia="Cambria"/>
          <w:sz w:val="22"/>
        </w:rPr>
        <w:t>: inflamabilidad, no inspeccionada por el SOIVRE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UNE-EN 71-3:2020+A1:2021</w:t>
      </w:r>
      <w:r>
        <w:rPr>
          <w:rFonts w:ascii="Cambria" w:hAnsi="Cambria" w:cs="Cambria" w:eastAsia="Cambria"/>
          <w:sz w:val="22"/>
        </w:rPr>
        <w:t>: migración de metales pesados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UNE-EN 62115:2021/A11:2021</w:t>
      </w:r>
      <w:r>
        <w:rPr>
          <w:rFonts w:ascii="Cambria" w:hAnsi="Cambria" w:cs="Cambria" w:eastAsia="Cambria"/>
          <w:sz w:val="22"/>
        </w:rPr>
        <w:t>: juguetes eléctricos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UNE-EN 60825-1:2015/A11:2021</w:t>
      </w:r>
      <w:r>
        <w:rPr>
          <w:rFonts w:ascii="Cambria" w:hAnsi="Cambria" w:cs="Cambria" w:eastAsia="Cambria"/>
          <w:sz w:val="22"/>
        </w:rPr>
        <w:t>: láser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UNE-EN 15649-3:2018</w:t>
      </w:r>
      <w:r>
        <w:rPr>
          <w:rFonts w:ascii="Cambria" w:hAnsi="Cambria" w:cs="Cambria" w:eastAsia="Cambria"/>
          <w:sz w:val="22"/>
        </w:rPr>
        <w:t>: artículos de recreo flotantes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2.6. Casos particulares de etiquetado y marcado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Peluches</w:t>
      </w:r>
      <w:r>
        <w:rPr>
          <w:rFonts w:ascii="Cambria" w:hAnsi="Cambria" w:cs="Cambria" w:eastAsia="Cambria"/>
          <w:sz w:val="22"/>
        </w:rPr>
        <w:t>: menores de 3 años, sin indicación de edad con riesgo explícito (rehús inmediato)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Proyectiles con ventosa</w:t>
      </w:r>
      <w:r>
        <w:rPr>
          <w:rFonts w:ascii="Cambria" w:hAnsi="Cambria" w:cs="Cambria" w:eastAsia="Cambria"/>
          <w:sz w:val="22"/>
        </w:rPr>
        <w:t xml:space="preserve">: longitud superior a </w:t>
      </w:r>
      <w:r>
        <w:rPr>
          <w:rFonts w:ascii="Cambria" w:hAnsi="Cambria" w:cs="Cambria" w:eastAsia="Cambria"/>
          <w:b/>
          <w:sz w:val="22"/>
        </w:rPr>
        <w:t>57 mm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Imanes</w:t>
      </w:r>
      <w:r>
        <w:rPr>
          <w:rFonts w:ascii="Cambria" w:hAnsi="Cambria" w:cs="Cambria" w:eastAsia="Cambria"/>
          <w:sz w:val="22"/>
        </w:rPr>
        <w:t xml:space="preserve">: prohibidos en menores de 36 meses. En mayores, no pieza pequeña o flujo magnético inferior a </w:t>
      </w:r>
      <w:r>
        <w:rPr>
          <w:rFonts w:ascii="Cambria" w:hAnsi="Cambria" w:cs="Cambria" w:eastAsia="Cambria"/>
          <w:b/>
          <w:sz w:val="22"/>
        </w:rPr>
        <w:t>50 kg²/mm²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Monopatines</w:t>
      </w:r>
      <w:r>
        <w:rPr>
          <w:rFonts w:ascii="Cambria" w:hAnsi="Cambria" w:cs="Cambria" w:eastAsia="Cambria"/>
          <w:sz w:val="22"/>
        </w:rPr>
        <w:t xml:space="preserve">: juguete solo si niño de menos de </w:t>
      </w:r>
      <w:r>
        <w:rPr>
          <w:rFonts w:ascii="Cambria" w:hAnsi="Cambria" w:cs="Cambria" w:eastAsia="Cambria"/>
          <w:b/>
          <w:sz w:val="22"/>
        </w:rPr>
        <w:t>20 kg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2.7. Inspección en frontera (juguetes)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Etiquetado obligatorio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Nombre o razón social y dirección postal y electrónica de fabricante e importador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Referencia del modelo trazable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Advertencias de seguridad (menores de 36 meses)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Instrucciones en castellano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Marcado CE</w:t>
      </w:r>
      <w:r>
        <w:rPr>
          <w:rFonts w:ascii="Cambria" w:hAnsi="Cambria" w:cs="Cambria" w:eastAsia="Cambria"/>
          <w:sz w:val="22"/>
        </w:rPr>
        <w:t xml:space="preserve"> visible, legible e indeleble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2.8. Ensayos de laboratorio en juguetes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Ftalatos</w:t>
      </w:r>
      <w:r>
        <w:rPr>
          <w:rFonts w:ascii="Cambria" w:hAnsi="Cambria" w:cs="Cambria" w:eastAsia="Cambria"/>
          <w:sz w:val="22"/>
        </w:rPr>
        <w:t xml:space="preserve">: 0,1 % (REACH), laboratorio de </w:t>
      </w:r>
      <w:r>
        <w:rPr>
          <w:rFonts w:ascii="Cambria" w:hAnsi="Cambria" w:cs="Cambria" w:eastAsia="Cambria"/>
          <w:b/>
          <w:sz w:val="22"/>
        </w:rPr>
        <w:t>Murcia</w:t>
      </w:r>
      <w:r>
        <w:rPr>
          <w:rFonts w:ascii="Cambria" w:hAnsi="Cambria" w:cs="Cambria" w:eastAsia="Cambria"/>
          <w:sz w:val="22"/>
        </w:rPr>
        <w:t xml:space="preserve"> acreditado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Metales pesados</w:t>
      </w:r>
      <w:r>
        <w:rPr>
          <w:rFonts w:ascii="Cambria" w:hAnsi="Cambria" w:cs="Cambria" w:eastAsia="Cambria"/>
          <w:sz w:val="22"/>
        </w:rPr>
        <w:t>: UNE-EN 71-3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CMR</w:t>
      </w:r>
      <w:r>
        <w:rPr>
          <w:rFonts w:ascii="Cambria" w:hAnsi="Cambria" w:cs="Cambria" w:eastAsia="Cambria"/>
          <w:sz w:val="22"/>
        </w:rPr>
        <w:t>: Apéndice A del Anexo II de la Directiva 2009/48/CE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Propiedades mecánicas y físicas</w:t>
      </w:r>
      <w:r>
        <w:rPr>
          <w:rFonts w:ascii="Cambria" w:hAnsi="Cambria" w:cs="Cambria" w:eastAsia="Cambria"/>
          <w:sz w:val="22"/>
        </w:rPr>
        <w:t>: UNE-EN 71-1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SUBSECTOR DEL PEQUEÑO MATERIAL ELÉCTRICO (PME)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Descripción y productos controlados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330/2008</w:t>
      </w:r>
      <w:r>
        <w:rPr>
          <w:rFonts w:ascii="Cambria" w:hAnsi="Cambria" w:cs="Cambria" w:eastAsia="Cambria"/>
          <w:sz w:val="22"/>
        </w:rPr>
        <w:t>: control centrado en productos sensibles para el consumidor doméstico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Clasificación arancelaria no nítida: identificar destino y uso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Riesgos: electrocución, incendio, sobrecalentamiento, fallo de aislamiento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Bajo valor unitario, alta rotación, comercio electrónico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Productos controlados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Interruptores, seccionadores y conmutadores de uso doméstico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Portalámparas Edison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Clavijas y tomas de corriente (consumidor final)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Adaptadores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Regletas de conexión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Cables prolongadores y enrollables (hasta </w:t>
      </w:r>
      <w:r>
        <w:rPr>
          <w:rFonts w:ascii="Cambria" w:hAnsi="Cambria" w:cs="Cambria" w:eastAsia="Cambria"/>
          <w:b/>
          <w:sz w:val="22"/>
        </w:rPr>
        <w:t>1.000 V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Guirnaldas de árboles de Navidad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Análisis sectorial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Europa líder mundial, seguida de EEUU y Japón. En la UE: Alemania, Francia e Italia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Producción nacional: Cataluña, País Vasco y Aragón. Asociación </w:t>
      </w:r>
      <w:r>
        <w:rPr>
          <w:rFonts w:ascii="Cambria" w:hAnsi="Cambria" w:cs="Cambria" w:eastAsia="Cambria"/>
          <w:b/>
          <w:sz w:val="22"/>
        </w:rPr>
        <w:t>AFME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Más volumen que facturación por la competencia asiática en precio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Exportaciones: UE (Francia, Alemania, Italia) y Latinoamérica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Importaciones de </w:t>
      </w:r>
      <w:r>
        <w:rPr>
          <w:rFonts w:ascii="Cambria" w:hAnsi="Cambria" w:cs="Cambria" w:eastAsia="Cambria"/>
          <w:b/>
          <w:sz w:val="22"/>
        </w:rPr>
        <w:t>China</w:t>
      </w:r>
      <w:r>
        <w:rPr>
          <w:rFonts w:ascii="Cambria" w:hAnsi="Cambria" w:cs="Cambria" w:eastAsia="Cambria"/>
          <w:sz w:val="22"/>
        </w:rPr>
        <w:t>: déficit estructural y dependencia de cadenas asiáticas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Demanda: transición energética (recarga de vehículos eléctricos, fotovoltaica, eólica, smart grids, domótica)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Comercio electrónico: pequeños envíos de terceros países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187/2016 (Baja Tensión)</w:t>
      </w:r>
      <w:r>
        <w:rPr>
          <w:rFonts w:ascii="Cambria" w:hAnsi="Cambria" w:cs="Cambria" w:eastAsia="Cambria"/>
          <w:sz w:val="22"/>
        </w:rPr>
        <w:t>: transpone la LVD 2014/35/UE, marcado CE de seguridad. Excluye bases, clavijas y adaptadores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2011/65/UE (RoHS)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Real Decreto 219/2013</w:t>
      </w:r>
      <w:r>
        <w:rPr>
          <w:rFonts w:ascii="Cambria" w:hAnsi="Cambria" w:cs="Cambria" w:eastAsia="Cambria"/>
          <w:sz w:val="22"/>
        </w:rPr>
        <w:t>): plomo 0,1 %, mercurio 0,1 %, cadmio 0,01 %. Marcado CE solo de sustancias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993/2022</w:t>
      </w:r>
      <w:r>
        <w:rPr>
          <w:rFonts w:ascii="Cambria" w:hAnsi="Cambria" w:cs="Cambria" w:eastAsia="Cambria"/>
          <w:sz w:val="22"/>
        </w:rPr>
        <w:t>: control SOIVRE de RoHS y Registro Integrado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27/2021</w:t>
      </w:r>
      <w:r>
        <w:rPr>
          <w:rFonts w:ascii="Cambria" w:hAnsi="Cambria" w:cs="Cambria" w:eastAsia="Cambria"/>
          <w:sz w:val="22"/>
        </w:rPr>
        <w:t>: SOIVRE como autoridad de control de AEE y pilas y acumuladores antes de la importación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842/2002 (REBT)</w:t>
      </w:r>
      <w:r>
        <w:rPr>
          <w:rFonts w:ascii="Cambria" w:hAnsi="Cambria" w:cs="Cambria" w:eastAsia="Cambria"/>
          <w:sz w:val="22"/>
        </w:rPr>
        <w:t>: instalaciones de baja tensión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110/2015 (RAEE)</w:t>
      </w:r>
      <w:r>
        <w:rPr>
          <w:rFonts w:ascii="Cambria" w:hAnsi="Cambria" w:cs="Cambria" w:eastAsia="Cambria"/>
          <w:sz w:val="22"/>
        </w:rPr>
        <w:t>: transpone la Directiva 2012/19/UE, recogida, tratamiento y reciclaje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RGSP</w:t>
      </w:r>
      <w:r>
        <w:rPr>
          <w:rFonts w:ascii="Cambria" w:hAnsi="Cambria" w:cs="Cambria" w:eastAsia="Cambria"/>
          <w:sz w:val="22"/>
        </w:rPr>
        <w:t>: obligaciones de mercados en línea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2024/1781 (ESPR)</w:t>
      </w:r>
      <w:r>
        <w:rPr>
          <w:rFonts w:ascii="Cambria" w:hAnsi="Cambria" w:cs="Cambria" w:eastAsia="Cambria"/>
          <w:sz w:val="22"/>
        </w:rPr>
        <w:t>: diseño ecológico, requisitos por actos delegados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3.4. Normas armonizadas (inspección SOIVRE)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UNE-EN 60598-1:2015/A1:2018</w:t>
      </w:r>
      <w:r>
        <w:rPr>
          <w:rFonts w:ascii="Cambria" w:hAnsi="Cambria" w:cs="Cambria" w:eastAsia="Cambria"/>
          <w:sz w:val="22"/>
        </w:rPr>
        <w:t>: luminarias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UNE-EN 60238:2006/A2:2011</w:t>
      </w:r>
      <w:r>
        <w:rPr>
          <w:rFonts w:ascii="Cambria" w:hAnsi="Cambria" w:cs="Cambria" w:eastAsia="Cambria"/>
          <w:sz w:val="22"/>
        </w:rPr>
        <w:t>: portalámparas Edison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UNE-EN 60998</w:t>
      </w:r>
      <w:r>
        <w:rPr>
          <w:rFonts w:ascii="Cambria" w:hAnsi="Cambria" w:cs="Cambria" w:eastAsia="Cambria"/>
          <w:sz w:val="22"/>
        </w:rPr>
        <w:t>: dispositivos de conexión y regletas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UNE-EN 61058</w:t>
      </w:r>
      <w:r>
        <w:rPr>
          <w:rFonts w:ascii="Cambria" w:hAnsi="Cambria" w:cs="Cambria" w:eastAsia="Cambria"/>
          <w:sz w:val="22"/>
        </w:rPr>
        <w:t>: interruptores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UNE 20315:2017</w:t>
      </w:r>
      <w:r>
        <w:rPr>
          <w:rFonts w:ascii="Cambria" w:hAnsi="Cambria" w:cs="Cambria" w:eastAsia="Cambria"/>
          <w:sz w:val="22"/>
        </w:rPr>
        <w:t xml:space="preserve"> (partes 1-1 y 1-2): bases, clavijas y adaptadores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marcado CE de seguridad. Conformidad con la norma más RGSP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Su marcado CE deriva solo de RoHS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3.5. Inspección en frontera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Control preventivo, documental y físico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 verifica: correspondencia con la documentación, fabricante o importador, trazabilidad del modelo, marcado y etiquetado, documentación técnica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Dos marcados CE</w:t>
      </w:r>
      <w:r>
        <w:rPr>
          <w:rFonts w:ascii="Cambria" w:hAnsi="Cambria" w:cs="Cambria" w:eastAsia="Cambria"/>
          <w:sz w:val="22"/>
        </w:rPr>
        <w:t xml:space="preserve"> distintos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Baja Tensión</w:t>
      </w:r>
      <w:r>
        <w:rPr>
          <w:rFonts w:ascii="Cambria" w:hAnsi="Cambria" w:cs="Cambria" w:eastAsia="Cambria"/>
          <w:sz w:val="22"/>
        </w:rPr>
        <w:t>: seguridad eléctrica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RoHS</w:t>
      </w:r>
      <w:r>
        <w:rPr>
          <w:rFonts w:ascii="Cambria" w:hAnsi="Cambria" w:cs="Cambria" w:eastAsia="Cambria"/>
          <w:sz w:val="22"/>
        </w:rPr>
        <w:t>: solo sustancias, todos los AEE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Productos sujetos a la Directiva de Baja Tensión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Prolongadores, enrollacables, interruptores, regletas, portalámparas y guirnaldas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CE ampara seguridad (Real Decreto 187/2016) y RoHS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Exigible: Declaración UE de Conformidad e informe de laboratorio acreditado con la norma armonizada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Productos excluidos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Bases, clavijas y adaptadores, sin CE de seguridad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Seguridad por UNE 20315:2017 y RGSP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Verificar que su CE no se presente como seguridad eléctrica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Control RAEE en la importación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Real Decreto 110/2015, responsabilidad ampliada del productor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Inscripción en el </w:t>
      </w:r>
      <w:r>
        <w:rPr>
          <w:rFonts w:ascii="Cambria" w:hAnsi="Cambria" w:cs="Cambria" w:eastAsia="Cambria"/>
          <w:b/>
          <w:sz w:val="22"/>
        </w:rPr>
        <w:t>RII</w:t>
      </w:r>
      <w:r>
        <w:rPr>
          <w:rFonts w:ascii="Cambria" w:hAnsi="Cambria" w:cs="Cambria" w:eastAsia="Cambria"/>
          <w:sz w:val="22"/>
        </w:rPr>
        <w:t xml:space="preserve"> con número RAEE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Símbolo de contenedor tachado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marcado CE: obligación medioambiental y registral, con declaraciones trimestrales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3.6. Ensayos de laboratorio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Verifican seguridad durante la vida útil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Dimensiones, líneas de fuga y distancias de aislamiento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Cables: doblado, longitud y sección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Puesta a tierra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Resistencia al calor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Resistencia mecánica: compresión, tracción, choque a baja temperatura y caída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Juguetes y pequeño material eléctrico: seguridad del usuario, controles específicos en frontera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>: barrera de protección con revisión documental, inspección física y ensayos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Orden PJC/161/2026</w:t>
      </w:r>
      <w:r>
        <w:rPr>
          <w:rFonts w:ascii="Cambria" w:hAnsi="Cambria" w:cs="Cambria" w:eastAsia="Cambria"/>
          <w:sz w:val="22"/>
        </w:rPr>
        <w:t>: amplía el control (puericultura, ropa infantil, gafas de sol, drones recreativos, encendedores)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Modelo basado en prevención del riesgo y vigilancia eficaz, con papel reforzado por la expansión del comercio electrónico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20 – Sector de manufacturas de consumo (II): Juguetes. Pequeño material eléctrico.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20 – Sector de manufacturas de consumo (II): Juguetes. Pequeño material eléctrico.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