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Hortalizas frescas</w:t>
      </w:r>
      <w:r>
        <w:rPr>
          <w:rFonts w:ascii="Cambria" w:hAnsi="Cambria" w:cs="Cambria" w:eastAsia="Cambria"/>
          <w:sz w:val="22"/>
        </w:rPr>
        <w:t xml:space="preserve">: pilar del comercio exterior agroalimentario, </w:t>
      </w:r>
      <w:r>
        <w:rPr>
          <w:rFonts w:ascii="Cambria" w:hAnsi="Cambria" w:cs="Cambria" w:eastAsia="Cambria"/>
          <w:b/>
          <w:sz w:val="22"/>
        </w:rPr>
        <w:t>11,7 %</w:t>
      </w:r>
      <w:r>
        <w:rPr>
          <w:rFonts w:ascii="Cambria" w:hAnsi="Cambria" w:cs="Cambria" w:eastAsia="Cambria"/>
          <w:sz w:val="22"/>
        </w:rPr>
        <w:t xml:space="preserve"> de las exportaciones agroalimentarias en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Entre los tres sectores con más superávit, junto a frutas frescas y cárnico (DATACOMEX)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2025: importaciones </w:t>
      </w:r>
      <w:r>
        <w:rPr>
          <w:rFonts w:ascii="Cambria" w:hAnsi="Cambria" w:cs="Cambria" w:eastAsia="Cambria"/>
          <w:b/>
          <w:sz w:val="22"/>
        </w:rPr>
        <w:t>2.133,1 M€</w:t>
      </w:r>
      <w:r>
        <w:rPr>
          <w:rFonts w:ascii="Cambria" w:hAnsi="Cambria" w:cs="Cambria" w:eastAsia="Cambria"/>
          <w:sz w:val="22"/>
        </w:rPr>
        <w:t xml:space="preserve"> (+3,4 %), exportaciones </w:t>
      </w:r>
      <w:r>
        <w:rPr>
          <w:rFonts w:ascii="Cambria" w:hAnsi="Cambria" w:cs="Cambria" w:eastAsia="Cambria"/>
          <w:b/>
          <w:sz w:val="22"/>
        </w:rPr>
        <w:t>8.983,3 M€</w:t>
      </w:r>
      <w:r>
        <w:rPr>
          <w:rFonts w:ascii="Cambria" w:hAnsi="Cambria" w:cs="Cambria" w:eastAsia="Cambria"/>
          <w:sz w:val="22"/>
        </w:rPr>
        <w:t xml:space="preserve"> (+11,5 %), saldo </w:t>
      </w:r>
      <w:r>
        <w:rPr>
          <w:rFonts w:ascii="Cambria" w:hAnsi="Cambria" w:cs="Cambria" w:eastAsia="Cambria"/>
          <w:b/>
          <w:sz w:val="22"/>
        </w:rPr>
        <w:t>6.850,3 M€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GTISA</w:t>
      </w:r>
      <w:r>
        <w:rPr>
          <w:rFonts w:ascii="Cambria" w:hAnsi="Cambria" w:cs="Cambria" w:eastAsia="Cambria"/>
          <w:sz w:val="22"/>
        </w:rPr>
        <w:t xml:space="preserve"> (presidido por la Secretaría General de Agricultura y Alimentación del MAPA)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Siete grupos de trabajo, uno de frutas y hortalizas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Barreras comerciales, mercados, coordinación, dimensión empresarial, promoción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Cuatro bloques: productos, calidad comercial, normativa, análisis sectorial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 Y DESIGNACIÓN DE LOS PRINCIPALES PRODUCTOS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Hortalizas aprovechables por sus frutos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Tomate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Solanum lycopersicum</w:t>
      </w:r>
      <w:r>
        <w:rPr>
          <w:rFonts w:ascii="Cambria" w:hAnsi="Cambria" w:cs="Cambria" w:eastAsia="Cambria"/>
          <w:sz w:val="22"/>
        </w:rPr>
        <w:t>, solanáceas)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Baya, fruto </w:t>
      </w:r>
      <w:r>
        <w:rPr>
          <w:rFonts w:ascii="Cambria" w:hAnsi="Cambria" w:cs="Cambria" w:eastAsia="Cambria"/>
          <w:b/>
          <w:sz w:val="22"/>
        </w:rPr>
        <w:t>climatérico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Cuatro tipos: redondo liso, asurcado, oblongo, cereza. Presentación en ramo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Pimiento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Capsicum annuum</w:t>
      </w:r>
      <w:r>
        <w:rPr>
          <w:rFonts w:ascii="Cambria" w:hAnsi="Cambria" w:cs="Cambria" w:eastAsia="Cambria"/>
          <w:sz w:val="22"/>
        </w:rPr>
        <w:t>, solanáceas)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Baya hueca, </w:t>
      </w:r>
      <w:r>
        <w:rPr>
          <w:rFonts w:ascii="Cambria" w:hAnsi="Cambria" w:cs="Cambria" w:eastAsia="Cambria"/>
          <w:b/>
          <w:sz w:val="22"/>
        </w:rPr>
        <w:t>no climatérico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Picantes (capsaicina) y dulces: California, Lamuyo, Italiano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Berenjena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Solanum melongena</w:t>
      </w:r>
      <w:r>
        <w:rPr>
          <w:rFonts w:ascii="Cambria" w:hAnsi="Cambria" w:cs="Cambria" w:eastAsia="Cambria"/>
          <w:sz w:val="22"/>
        </w:rPr>
        <w:t>, solanáceas)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Globosa, semilarga (la más cultivada y exportada), larga y rayada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Pepino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Cucumis sativus</w:t>
      </w:r>
      <w:r>
        <w:rPr>
          <w:rFonts w:ascii="Cambria" w:hAnsi="Cambria" w:cs="Cambria" w:eastAsia="Cambria"/>
          <w:sz w:val="22"/>
        </w:rPr>
        <w:t>, cucurbitáceas)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Corto o español, medio o francés, largo u holandés (principal tipo de exportación)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Calabacín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Cucurbita pepo</w:t>
      </w:r>
      <w:r>
        <w:rPr>
          <w:rFonts w:ascii="Cambria" w:hAnsi="Cambria" w:cs="Cambria" w:eastAsia="Cambria"/>
          <w:sz w:val="22"/>
        </w:rPr>
        <w:t>, cucurbitáceas)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Pepónide inmadura. Variedades Cónsul, Diamante, Baccara, Selena, Elite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Hortalizas aprovechables por sus hojas, tallos e inflorescencias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Lechuga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Lactuca sativa</w:t>
      </w:r>
      <w:r>
        <w:rPr>
          <w:rFonts w:ascii="Cambria" w:hAnsi="Cambria" w:cs="Cambria" w:eastAsia="Cambria"/>
          <w:sz w:val="22"/>
        </w:rPr>
        <w:t>, asteráceas)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Romana, acogollada (Trocadero, Iceberg), de hoja suelta, espárrago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Escarola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Cichorium endivia</w:t>
      </w:r>
      <w:r>
        <w:rPr>
          <w:rFonts w:ascii="Cambria" w:hAnsi="Cambria" w:cs="Cambria" w:eastAsia="Cambria"/>
          <w:sz w:val="22"/>
        </w:rPr>
        <w:t>, asteráceas)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Rizada (</w:t>
      </w:r>
      <w:r>
        <w:rPr>
          <w:rFonts w:ascii="Cambria" w:hAnsi="Cambria" w:cs="Cambria" w:eastAsia="Cambria"/>
          <w:i/>
          <w:sz w:val="22"/>
        </w:rPr>
        <w:t>crispum</w:t>
      </w:r>
      <w:r>
        <w:rPr>
          <w:rFonts w:ascii="Cambria" w:hAnsi="Cambria" w:cs="Cambria" w:eastAsia="Cambria"/>
          <w:sz w:val="22"/>
        </w:rPr>
        <w:t>) y lisa (</w:t>
      </w:r>
      <w:r>
        <w:rPr>
          <w:rFonts w:ascii="Cambria" w:hAnsi="Cambria" w:cs="Cambria" w:eastAsia="Cambria"/>
          <w:i/>
          <w:sz w:val="22"/>
        </w:rPr>
        <w:t>latifolium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Espinaca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Spinacia oleracea</w:t>
      </w:r>
      <w:r>
        <w:rPr>
          <w:rFonts w:ascii="Cambria" w:hAnsi="Cambria" w:cs="Cambria" w:eastAsia="Cambria"/>
          <w:sz w:val="22"/>
        </w:rPr>
        <w:t>, quenopodiáceas)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Viroflay, Gigante de Invierno, Butterflay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Coliflor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Brassica oleracea</w:t>
      </w:r>
      <w:r>
        <w:rPr>
          <w:rFonts w:ascii="Cambria" w:hAnsi="Cambria" w:cs="Cambria" w:eastAsia="Cambria"/>
          <w:sz w:val="22"/>
        </w:rPr>
        <w:t>, brasicáceas)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Inflorescencia (pella). Brócoli (var. </w:t>
      </w:r>
      <w:r>
        <w:rPr>
          <w:rFonts w:ascii="Cambria" w:hAnsi="Cambria" w:cs="Cambria" w:eastAsia="Cambria"/>
          <w:i/>
          <w:sz w:val="22"/>
        </w:rPr>
        <w:t>italica</w:t>
      </w:r>
      <w:r>
        <w:rPr>
          <w:rFonts w:ascii="Cambria" w:hAnsi="Cambria" w:cs="Cambria" w:eastAsia="Cambria"/>
          <w:sz w:val="22"/>
        </w:rPr>
        <w:t>), de gran peso exportador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Extratempranas, tempranas, media estación, tardías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Alcachofa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Cynara scolymus</w:t>
      </w:r>
      <w:r>
        <w:rPr>
          <w:rFonts w:ascii="Cambria" w:hAnsi="Cambria" w:cs="Cambria" w:eastAsia="Cambria"/>
          <w:sz w:val="22"/>
        </w:rPr>
        <w:t>, asteráceas)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Capítulo floral inmaduro. Blanca de Tudela, la más cultivada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Espárrago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Asparagus officinalis</w:t>
      </w:r>
      <w:r>
        <w:rPr>
          <w:rFonts w:ascii="Cambria" w:hAnsi="Cambria" w:cs="Cambria" w:eastAsia="Cambria"/>
          <w:sz w:val="22"/>
        </w:rPr>
        <w:t>, asparagáceas)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Turión. Blancos, morados, verdes y morados, verdes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Hortalizas aprovechables por tubérculos, bulbos y raíces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Patata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Solanum tuberosum</w:t>
      </w:r>
      <w:r>
        <w:rPr>
          <w:rFonts w:ascii="Cambria" w:hAnsi="Cambria" w:cs="Cambria" w:eastAsia="Cambria"/>
          <w:sz w:val="22"/>
        </w:rPr>
        <w:t>, solanáceas)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Variedades tempranas (Spunta, Jaerla) y de media estación y tardías (Monalisa, Agria)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Fuera de la OCM</w:t>
      </w:r>
      <w:r>
        <w:rPr>
          <w:rFonts w:ascii="Cambria" w:hAnsi="Cambria" w:cs="Cambria" w:eastAsia="Cambria"/>
          <w:sz w:val="22"/>
        </w:rPr>
        <w:t xml:space="preserve"> de frutas y hortalizas, sin normas de comercialización UE. </w:t>
      </w:r>
      <w:r>
        <w:rPr>
          <w:rFonts w:ascii="Cambria" w:hAnsi="Cambria" w:cs="Cambria" w:eastAsia="Cambria"/>
          <w:b/>
          <w:sz w:val="22"/>
        </w:rPr>
        <w:t>Real Decreto 31/2009</w:t>
      </w:r>
      <w:r>
        <w:rPr>
          <w:rFonts w:ascii="Cambria" w:hAnsi="Cambria" w:cs="Cambria" w:eastAsia="Cambria"/>
          <w:sz w:val="22"/>
        </w:rPr>
        <w:t>, norma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Cebolla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Allium cepa</w:t>
      </w:r>
      <w:r>
        <w:rPr>
          <w:rFonts w:ascii="Cambria" w:hAnsi="Cambria" w:cs="Cambria" w:eastAsia="Cambria"/>
          <w:sz w:val="22"/>
        </w:rPr>
        <w:t>, amarilidáceas)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Tempranas, semitempranas, tardías (tipo Grano, gran parte de la exportación)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Ajo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Allium sativum</w:t>
      </w:r>
      <w:r>
        <w:rPr>
          <w:rFonts w:ascii="Cambria" w:hAnsi="Cambria" w:cs="Cambria" w:eastAsia="Cambria"/>
          <w:sz w:val="22"/>
        </w:rPr>
        <w:t>, amarilidáceas)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Blanco, morado (IGP Ajo Morado de Las Pedroñeras), tipo Spring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Zanahoria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Daucus carota</w:t>
      </w:r>
      <w:r>
        <w:rPr>
          <w:rFonts w:ascii="Cambria" w:hAnsi="Cambria" w:cs="Cambria" w:eastAsia="Cambria"/>
          <w:sz w:val="22"/>
        </w:rPr>
        <w:t>, umbelíferas)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Cortas, semilargas (tipo Nantesa, mayoría de la producción), largas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FACTORES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  <w:r>
        <w:rPr>
          <w:rFonts w:ascii="Cambria" w:hAnsi="Cambria" w:cs="Cambria" w:eastAsia="Cambria"/>
          <w:sz w:val="22"/>
        </w:rPr>
        <w:t>: características externas e internas que determinan la aptitud para comercializar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Normas de la UE: </w:t>
      </w:r>
      <w:r>
        <w:rPr>
          <w:rFonts w:ascii="Cambria" w:hAnsi="Cambria" w:cs="Cambria" w:eastAsia="Cambria"/>
          <w:b/>
          <w:sz w:val="22"/>
        </w:rPr>
        <w:t>Reglamento Delegado (UE) 2023/2429</w:t>
      </w:r>
      <w:r>
        <w:rPr>
          <w:rFonts w:ascii="Cambria" w:hAnsi="Cambria" w:cs="Cambria" w:eastAsia="Cambria"/>
          <w:sz w:val="22"/>
        </w:rPr>
        <w:t>, aplicable desde 1 de enero de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 general</w:t>
      </w:r>
      <w:r>
        <w:rPr>
          <w:rFonts w:ascii="Cambria" w:hAnsi="Cambria" w:cs="Cambria" w:eastAsia="Cambria"/>
          <w:sz w:val="22"/>
        </w:rPr>
        <w:t>: berenjena, pepino, calabacín, coliflor, alcachofa, espárrago, cebolla, ajo, zanahoria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específicas</w:t>
      </w:r>
      <w:r>
        <w:rPr>
          <w:rFonts w:ascii="Cambria" w:hAnsi="Cambria" w:cs="Cambria" w:eastAsia="Cambria"/>
          <w:sz w:val="22"/>
        </w:rPr>
        <w:t>: tomates, pimientos dulces, lechugas y escarolas (categorías Extra, I y II)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Requisitos mínimos</w:t>
      </w:r>
      <w:r>
        <w:rPr>
          <w:rFonts w:ascii="Cambria" w:hAnsi="Cambria" w:cs="Cambria" w:eastAsia="Cambria"/>
          <w:sz w:val="22"/>
        </w:rPr>
        <w:t>: enteros, sanos, limpios, prácticamente exentos de plagas y de daños en pulpa, sin humedad exterior anormal, sin olores ni sabores extraños, aptos para transporte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Además: madurez mínima, tolerancias, marcado (</w:t>
      </w:r>
      <w:r>
        <w:rPr>
          <w:rFonts w:ascii="Cambria" w:hAnsi="Cambria" w:cs="Cambria" w:eastAsia="Cambria"/>
          <w:b/>
          <w:sz w:val="22"/>
        </w:rPr>
        <w:t>país de origen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Madurez</w:t>
      </w:r>
      <w:r>
        <w:rPr>
          <w:rFonts w:ascii="Cambria" w:hAnsi="Cambria" w:cs="Cambria" w:eastAsia="Cambria"/>
          <w:sz w:val="22"/>
        </w:rPr>
        <w:t>: fisiológica, comercial, de consumo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Climatéricos</w:t>
      </w:r>
      <w:r>
        <w:rPr>
          <w:rFonts w:ascii="Cambria" w:hAnsi="Cambria" w:cs="Cambria" w:eastAsia="Cambria"/>
          <w:sz w:val="22"/>
        </w:rPr>
        <w:t xml:space="preserve"> (tomate) frente a </w:t>
      </w:r>
      <w:r>
        <w:rPr>
          <w:rFonts w:ascii="Cambria" w:hAnsi="Cambria" w:cs="Cambria" w:eastAsia="Cambria"/>
          <w:b/>
          <w:sz w:val="22"/>
        </w:rPr>
        <w:t>no climatéricos</w:t>
      </w:r>
      <w:r>
        <w:rPr>
          <w:rFonts w:ascii="Cambria" w:hAnsi="Cambria" w:cs="Cambria" w:eastAsia="Cambria"/>
          <w:sz w:val="22"/>
        </w:rPr>
        <w:t xml:space="preserve"> (pimiento, pepino, berenjena, calabacín)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Índices objetivos: firmeza (penetrómetro), color (carta colorimétrica), sólidos solubles (Brix), acidez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exigibles si la norma los fija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Criterios por grupo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Frutos: firmeza, color (carta OCDE en tomate), desarrollo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Hojas, tallos e inflorescencias: frescura, turgencia, compacidad, ausencia de espigado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Tubérculos, bulbos y raíces: firmeza, piel, ausencia de brotación, curado, verdeo en patata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ámbitos distintos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Sanidad vegetal</w:t>
      </w:r>
      <w:r>
        <w:rPr>
          <w:rFonts w:ascii="Cambria" w:hAnsi="Cambria" w:cs="Cambria" w:eastAsia="Cambria"/>
          <w:sz w:val="22"/>
        </w:rPr>
        <w:t xml:space="preserve">: Reglamento (UE) 2016/2031. Mosca blanca, trips (TSWV), </w:t>
      </w:r>
      <w:r>
        <w:rPr>
          <w:rFonts w:ascii="Cambria" w:hAnsi="Cambria" w:cs="Cambria" w:eastAsia="Cambria"/>
          <w:i/>
          <w:sz w:val="22"/>
        </w:rPr>
        <w:t>Tuta absoluta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ToBRFV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Seguridad alimentaria</w:t>
      </w:r>
      <w:r>
        <w:rPr>
          <w:rFonts w:ascii="Cambria" w:hAnsi="Cambria" w:cs="Cambria" w:eastAsia="Cambria"/>
          <w:sz w:val="22"/>
        </w:rPr>
        <w:t>: LMR, contaminantes, nitratos en lechuga y espinaca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Política Agrícola Común (PAC)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 2023-2027</w:t>
      </w:r>
      <w:r>
        <w:rPr>
          <w:rFonts w:ascii="Cambria" w:hAnsi="Cambria" w:cs="Cambria" w:eastAsia="Cambria"/>
          <w:sz w:val="22"/>
        </w:rPr>
        <w:t>: modelo orientado al mercado, la sostenibilidad y la simplificación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2021/2115</w:t>
      </w:r>
      <w:r>
        <w:rPr>
          <w:rFonts w:ascii="Cambria" w:hAnsi="Cambria" w:cs="Cambria" w:eastAsia="Cambria"/>
          <w:sz w:val="22"/>
        </w:rPr>
        <w:t xml:space="preserve">: planes estratégicos (FEAGA y FEADER). En España, </w:t>
      </w:r>
      <w:r>
        <w:rPr>
          <w:rFonts w:ascii="Cambria" w:hAnsi="Cambria" w:cs="Cambria" w:eastAsia="Cambria"/>
          <w:b/>
          <w:sz w:val="22"/>
        </w:rPr>
        <w:t>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2021/2116</w:t>
      </w:r>
      <w:r>
        <w:rPr>
          <w:rFonts w:ascii="Cambria" w:hAnsi="Cambria" w:cs="Cambria" w:eastAsia="Cambria"/>
          <w:sz w:val="22"/>
        </w:rPr>
        <w:t>: financiación, gestión y seguimiento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2021/2117</w:t>
      </w:r>
      <w:r>
        <w:rPr>
          <w:rFonts w:ascii="Cambria" w:hAnsi="Cambria" w:cs="Cambria" w:eastAsia="Cambria"/>
          <w:sz w:val="22"/>
        </w:rPr>
        <w:t>: modifica la OCM única (</w:t>
      </w:r>
      <w:r>
        <w:rPr>
          <w:rFonts w:ascii="Cambria" w:hAnsi="Cambria" w:cs="Cambria" w:eastAsia="Cambria"/>
          <w:b/>
          <w:sz w:val="22"/>
        </w:rPr>
        <w:t>1308/2013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Ayudas directas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BISS</w:t>
      </w:r>
      <w:r>
        <w:rPr>
          <w:rFonts w:ascii="Cambria" w:hAnsi="Cambria" w:cs="Cambria" w:eastAsia="Cambria"/>
          <w:sz w:val="22"/>
        </w:rPr>
        <w:t>, ayuda básica a la renta para la sostenibilidad (sustituye pago básico y greening)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Eco-regímenes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Condicionalidad reforzada</w:t>
      </w:r>
      <w:r>
        <w:rPr>
          <w:rFonts w:ascii="Cambria" w:hAnsi="Cambria" w:cs="Cambria" w:eastAsia="Cambria"/>
          <w:sz w:val="22"/>
        </w:rPr>
        <w:t xml:space="preserve"> (BCAM)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Prioridades: sostenibilidad ambiental y climática, relevo generacional, digitalización, organizaciones de productores, resiliencia ante crisis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Organización Común de Mercados (OCM) y normas de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 base: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, modificado por el 2021/2117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Principios: </w:t>
      </w:r>
      <w:r>
        <w:rPr>
          <w:rFonts w:ascii="Cambria" w:hAnsi="Cambria" w:cs="Cambria" w:eastAsia="Cambria"/>
          <w:b/>
          <w:sz w:val="22"/>
        </w:rPr>
        <w:t>unidad de mercado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preferencia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solidaridad 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estabilizar mercados, nivel de vida equitativo del agricultor, competitividad, abastecimiento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 xml:space="preserve">: Reglamento Delegado </w:t>
      </w:r>
      <w:r>
        <w:rPr>
          <w:rFonts w:ascii="Cambria" w:hAnsi="Cambria" w:cs="Cambria" w:eastAsia="Cambria"/>
          <w:b/>
          <w:sz w:val="22"/>
        </w:rPr>
        <w:t>2023/2429</w:t>
      </w:r>
      <w:r>
        <w:rPr>
          <w:rFonts w:ascii="Cambria" w:hAnsi="Cambria" w:cs="Cambria" w:eastAsia="Cambria"/>
          <w:sz w:val="22"/>
        </w:rPr>
        <w:t xml:space="preserve"> y Reglamento de Ejecución </w:t>
      </w:r>
      <w:r>
        <w:rPr>
          <w:rFonts w:ascii="Cambria" w:hAnsi="Cambria" w:cs="Cambria" w:eastAsia="Cambria"/>
          <w:b/>
          <w:sz w:val="22"/>
        </w:rPr>
        <w:t>2023/2430</w:t>
      </w:r>
      <w:r>
        <w:rPr>
          <w:rFonts w:ascii="Cambria" w:hAnsi="Cambria" w:cs="Cambria" w:eastAsia="Cambria"/>
          <w:sz w:val="22"/>
        </w:rPr>
        <w:t xml:space="preserve"> (controles de conformidad)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Base CEPE/ONU (WP.7). Esquema: definición, calidad, calibrado, tolerancias, presentación, marcado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Controles en todas las fases y a terceros países (normas UE o equivalentes). </w:t>
      </w:r>
      <w:r>
        <w:rPr>
          <w:rFonts w:ascii="Cambria" w:hAnsi="Cambria" w:cs="Cambria" w:eastAsia="Cambria"/>
          <w:b/>
          <w:sz w:val="22"/>
        </w:rPr>
        <w:t>Real Decreto 175/2004</w:t>
      </w:r>
      <w:r>
        <w:rPr>
          <w:rFonts w:ascii="Cambria" w:hAnsi="Cambria" w:cs="Cambria" w:eastAsia="Cambria"/>
          <w:sz w:val="22"/>
        </w:rPr>
        <w:t>: autoridad coordinadora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de productores (OP)</w:t>
      </w:r>
      <w:r>
        <w:rPr>
          <w:rFonts w:ascii="Cambria" w:hAnsi="Cambria" w:cs="Cambria" w:eastAsia="Cambria"/>
          <w:sz w:val="22"/>
        </w:rPr>
        <w:t>: concentran oferta, planifican, reducen costes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Programas operativos con fondo operativo, intervención sectorial del 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interprofesionales</w:t>
      </w:r>
      <w:r>
        <w:rPr>
          <w:rFonts w:ascii="Cambria" w:hAnsi="Cambria" w:cs="Cambria" w:eastAsia="Cambria"/>
          <w:sz w:val="22"/>
        </w:rPr>
        <w:t xml:space="preserve">: art. 157 del Reglamento 1308/2013 y </w:t>
      </w:r>
      <w:r>
        <w:rPr>
          <w:rFonts w:ascii="Cambria" w:hAnsi="Cambria" w:cs="Cambria" w:eastAsia="Cambria"/>
          <w:b/>
          <w:sz w:val="22"/>
        </w:rPr>
        <w:t>Ley 38/1994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Defensa y promoción. </w:t>
      </w:r>
      <w:r>
        <w:rPr>
          <w:rFonts w:ascii="Cambria" w:hAnsi="Cambria" w:cs="Cambria" w:eastAsia="Cambria"/>
          <w:b/>
          <w:sz w:val="22"/>
        </w:rPr>
        <w:t>PROEXPORT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COEXPHAL</w:t>
      </w:r>
      <w:r>
        <w:rPr>
          <w:rFonts w:ascii="Cambria" w:hAnsi="Cambria" w:cs="Cambria" w:eastAsia="Cambria"/>
          <w:sz w:val="22"/>
        </w:rPr>
        <w:t xml:space="preserve">. Asociación: </w:t>
      </w:r>
      <w:r>
        <w:rPr>
          <w:rFonts w:ascii="Cambria" w:hAnsi="Cambria" w:cs="Cambria" w:eastAsia="Cambria"/>
          <w:b/>
          <w:sz w:val="22"/>
        </w:rPr>
        <w:t>FEPEX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de intervención</w:t>
      </w:r>
      <w:r>
        <w:rPr>
          <w:rFonts w:ascii="Cambria" w:hAnsi="Cambria" w:cs="Cambria" w:eastAsia="Cambria"/>
          <w:sz w:val="22"/>
        </w:rPr>
        <w:t>: prevención y gestión de crisis, retirada con compensación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FEGA</w:t>
      </w:r>
      <w:r>
        <w:rPr>
          <w:rFonts w:ascii="Cambria" w:hAnsi="Cambria" w:cs="Cambria" w:eastAsia="Cambria"/>
          <w:sz w:val="22"/>
        </w:rPr>
        <w:t xml:space="preserve"> gestiona, </w:t>
      </w:r>
      <w:r>
        <w:rPr>
          <w:rFonts w:ascii="Cambria" w:hAnsi="Cambria" w:cs="Cambria" w:eastAsia="Cambria"/>
          <w:b/>
          <w:sz w:val="22"/>
        </w:rPr>
        <w:t>FEAGA</w:t>
      </w:r>
      <w:r>
        <w:rPr>
          <w:rFonts w:ascii="Cambria" w:hAnsi="Cambria" w:cs="Cambria" w:eastAsia="Cambria"/>
          <w:sz w:val="22"/>
        </w:rPr>
        <w:t xml:space="preserve"> financia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Intercambios con terceros países</w:t>
      </w:r>
      <w:r>
        <w:rPr>
          <w:rFonts w:ascii="Cambria" w:hAnsi="Cambria" w:cs="Cambria" w:eastAsia="Cambria"/>
          <w:sz w:val="22"/>
        </w:rPr>
        <w:t>: aranceles, contingentes, salvaguardias, certificados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Precios de entrada</w:t>
      </w:r>
      <w:r>
        <w:rPr>
          <w:rFonts w:ascii="Cambria" w:hAnsi="Cambria" w:cs="Cambria" w:eastAsia="Cambria"/>
          <w:sz w:val="22"/>
        </w:rPr>
        <w:t xml:space="preserve"> en tomates, pepinos, alcachofas y calabacines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Normativa internacional y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CEPE/ONU (WP.7)</w:t>
      </w:r>
      <w:r>
        <w:rPr>
          <w:rFonts w:ascii="Cambria" w:hAnsi="Cambria" w:cs="Cambria" w:eastAsia="Cambria"/>
          <w:sz w:val="22"/>
        </w:rPr>
        <w:t>: normas voluntarias, base técnica de las de la UE. Acuerdo de Ginebra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OCDE</w:t>
      </w:r>
      <w:r>
        <w:rPr>
          <w:rFonts w:ascii="Cambria" w:hAnsi="Cambria" w:cs="Cambria" w:eastAsia="Cambria"/>
          <w:sz w:val="22"/>
        </w:rPr>
        <w:t>: folletos interpretativos con fotografías y cartas colorimétricas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 xml:space="preserve"> (FAO y OMS): voluntario, referencia de los Acuerdos MSF y OTC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 para tomate, espárrago, berenjena, ajo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Regímenes voluntarios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controlada</w:t>
      </w:r>
      <w:r>
        <w:rPr>
          <w:rFonts w:ascii="Cambria" w:hAnsi="Cambria" w:cs="Cambria" w:eastAsia="Cambria"/>
          <w:sz w:val="22"/>
        </w:rPr>
        <w:t>: normas UNE 155000 (CTN 155), certificable por AENOR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1201/2002</w:t>
      </w:r>
      <w:r>
        <w:rPr>
          <w:rFonts w:ascii="Cambria" w:hAnsi="Cambria" w:cs="Cambria" w:eastAsia="Cambria"/>
          <w:sz w:val="22"/>
        </w:rPr>
        <w:t xml:space="preserve">, logotipo por </w:t>
      </w:r>
      <w:r>
        <w:rPr>
          <w:rFonts w:ascii="Cambria" w:hAnsi="Cambria" w:cs="Cambria" w:eastAsia="Cambria"/>
          <w:b/>
          <w:sz w:val="22"/>
        </w:rPr>
        <w:t>Orden APA/1/2004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2018/848</w:t>
      </w:r>
      <w:r>
        <w:rPr>
          <w:rFonts w:ascii="Cambria" w:hAnsi="Cambria" w:cs="Cambria" w:eastAsia="Cambria"/>
          <w:sz w:val="22"/>
        </w:rPr>
        <w:t>, desde 1 de enero de 2022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Importaciones con COI electrónico en TRACES. Control del SOIVRE (</w:t>
      </w:r>
      <w:r>
        <w:rPr>
          <w:rFonts w:ascii="Cambria" w:hAnsi="Cambria" w:cs="Cambria" w:eastAsia="Cambria"/>
          <w:b/>
          <w:sz w:val="22"/>
        </w:rPr>
        <w:t>Orden ECC/1936/2014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DOP, IGP y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 xml:space="preserve"> (supraautonómicas, control MAPA vía AICA)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Ejemplos: Espárrago de Navarra, Alcachofa de Benicarló, Ajo Morado de Las Pedroñeras, Pimiento del Piquillo de Lodosa, Tomate La Cañada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Protocolos privados</w:t>
      </w:r>
      <w:r>
        <w:rPr>
          <w:rFonts w:ascii="Cambria" w:hAnsi="Cambria" w:cs="Cambria" w:eastAsia="Cambria"/>
          <w:sz w:val="22"/>
        </w:rPr>
        <w:t>: GLOBALG.A.P., GFSI (IFS, BRCGS, SQF)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Normativa general y control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Legislación alimentaria general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178/2002</w:t>
      </w:r>
      <w:r>
        <w:rPr>
          <w:rFonts w:ascii="Cambria" w:hAnsi="Cambria" w:cs="Cambria" w:eastAsia="Cambria"/>
          <w:sz w:val="22"/>
        </w:rPr>
        <w:t>: principios y trazabilidad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Higiene: </w:t>
      </w:r>
      <w:r>
        <w:rPr>
          <w:rFonts w:ascii="Cambria" w:hAnsi="Cambria" w:cs="Cambria" w:eastAsia="Cambria"/>
          <w:b/>
          <w:sz w:val="22"/>
        </w:rPr>
        <w:t>852/2004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853/2004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>: LMR de plaguicidas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>: contaminantes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: información al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 xml:space="preserve">: controles oficiales. </w:t>
      </w:r>
      <w:r>
        <w:rPr>
          <w:rFonts w:ascii="Cambria" w:hAnsi="Cambria" w:cs="Cambria" w:eastAsia="Cambria"/>
          <w:b/>
          <w:sz w:val="22"/>
        </w:rPr>
        <w:t>Real Decreto 562/2025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: calidad alimentaria y sanciones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Envases: </w:t>
      </w:r>
      <w:r>
        <w:rPr>
          <w:rFonts w:ascii="Cambria" w:hAnsi="Cambria" w:cs="Cambria" w:eastAsia="Cambria"/>
          <w:b/>
          <w:sz w:val="22"/>
        </w:rPr>
        <w:t>Reglamento (UE) 2025/40</w:t>
      </w:r>
      <w:r>
        <w:rPr>
          <w:rFonts w:ascii="Cambria" w:hAnsi="Cambria" w:cs="Cambria" w:eastAsia="Cambria"/>
          <w:sz w:val="22"/>
        </w:rPr>
        <w:t xml:space="preserve"> (agosto de 2026) y </w:t>
      </w:r>
      <w:r>
        <w:rPr>
          <w:rFonts w:ascii="Cambria" w:hAnsi="Cambria" w:cs="Cambria" w:eastAsia="Cambria"/>
          <w:b/>
          <w:sz w:val="22"/>
        </w:rPr>
        <w:t>Real Decreto 1055/2022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: desperdicio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>: inspección SOIVRE de calidad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Anexo sustituido por la </w:t>
      </w:r>
      <w:r>
        <w:rPr>
          <w:rFonts w:ascii="Cambria" w:hAnsi="Cambria" w:cs="Cambria" w:eastAsia="Cambria"/>
          <w:b/>
          <w:sz w:val="22"/>
        </w:rPr>
        <w:t>Orden ECM/1002/2026</w:t>
      </w:r>
      <w:r>
        <w:rPr>
          <w:rFonts w:ascii="Cambria" w:hAnsi="Cambria" w:cs="Cambria" w:eastAsia="Cambria"/>
          <w:sz w:val="22"/>
        </w:rPr>
        <w:t>, de 9 de septiembre, para adaptarlo a los Reglamentos 2023/2429 y 2023/2430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de conformidad frente a solo verificación del país de origen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Selección por </w:t>
      </w:r>
      <w:r>
        <w:rPr>
          <w:rFonts w:ascii="Cambria" w:hAnsi="Cambria" w:cs="Cambria" w:eastAsia="Cambria"/>
          <w:b/>
          <w:sz w:val="22"/>
        </w:rPr>
        <w:t>análisis de riesgos</w:t>
      </w:r>
      <w:r>
        <w:rPr>
          <w:rFonts w:ascii="Cambria" w:hAnsi="Cambria" w:cs="Cambria" w:eastAsia="Cambria"/>
          <w:sz w:val="22"/>
        </w:rPr>
        <w:t>. Certificado de conformidad (2023/2430)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Hortalizas controladas: tomates, cebollas, lechugas, zanahorias, pepinos, pimientos (incluido el tipo padrón)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>: 5,1 % de sus exportaciones. China principal productor mundial, luego India y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Principales exportadores UE 2025: España, Países Bajos, Francia, Bélgica, Italia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 xml:space="preserve"> 2025: gran superávit, salvo la </w:t>
      </w:r>
      <w:r>
        <w:rPr>
          <w:rFonts w:ascii="Cambria" w:hAnsi="Cambria" w:cs="Cambria" w:eastAsia="Cambria"/>
          <w:b/>
          <w:sz w:val="22"/>
        </w:rPr>
        <w:t>patata</w:t>
      </w:r>
      <w:r>
        <w:rPr>
          <w:rFonts w:ascii="Cambria" w:hAnsi="Cambria" w:cs="Cambria" w:eastAsia="Cambria"/>
          <w:sz w:val="22"/>
        </w:rPr>
        <w:t xml:space="preserve"> (deficitaria)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Exportaciones: pimiento, pepino, tomate, lechuga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Importaciones: patata, tomate, pimiento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Destinos</w:t>
      </w:r>
      <w:r>
        <w:rPr>
          <w:rFonts w:ascii="Cambria" w:hAnsi="Cambria" w:cs="Cambria" w:eastAsia="Cambria"/>
          <w:sz w:val="22"/>
        </w:rPr>
        <w:t xml:space="preserve">: UE </w:t>
      </w:r>
      <w:r>
        <w:rPr>
          <w:rFonts w:ascii="Cambria" w:hAnsi="Cambria" w:cs="Cambria" w:eastAsia="Cambria"/>
          <w:b/>
          <w:sz w:val="22"/>
        </w:rPr>
        <w:t>78 %</w:t>
      </w:r>
      <w:r>
        <w:rPr>
          <w:rFonts w:ascii="Cambria" w:hAnsi="Cambria" w:cs="Cambria" w:eastAsia="Cambria"/>
          <w:sz w:val="22"/>
        </w:rPr>
        <w:t>. Alemania, Francia, Países Bajos, Italia (</w:t>
      </w:r>
      <w:r>
        <w:rPr>
          <w:rFonts w:ascii="Cambria" w:hAnsi="Cambria" w:cs="Cambria" w:eastAsia="Cambria"/>
          <w:b/>
          <w:sz w:val="22"/>
        </w:rPr>
        <w:t>70 %</w:t>
      </w:r>
      <w:r>
        <w:rPr>
          <w:rFonts w:ascii="Cambria" w:hAnsi="Cambria" w:cs="Cambria" w:eastAsia="Cambria"/>
          <w:sz w:val="22"/>
        </w:rPr>
        <w:t>). Reino Unido, principal extracomunitario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Proveedores</w:t>
      </w:r>
      <w:r>
        <w:rPr>
          <w:rFonts w:ascii="Cambria" w:hAnsi="Cambria" w:cs="Cambria" w:eastAsia="Cambria"/>
          <w:sz w:val="22"/>
        </w:rPr>
        <w:t>: UE 49 % (Francia, Países Bajos, Portugal). Terceros: Marruecos, Perú, China, EEUU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Competidores</w:t>
      </w:r>
      <w:r>
        <w:rPr>
          <w:rFonts w:ascii="Cambria" w:hAnsi="Cambria" w:cs="Cambria" w:eastAsia="Cambria"/>
          <w:sz w:val="22"/>
        </w:rPr>
        <w:t>: Países Bajos (invernadero, reexportación), Bélgica, Francia, Italia, Marruecos, Turquía, Egipto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Perú en espárrago, China en ajo (contingente arancelario)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Rusia</w:t>
      </w:r>
      <w:r>
        <w:rPr>
          <w:rFonts w:ascii="Cambria" w:hAnsi="Cambria" w:cs="Cambria" w:eastAsia="Cambria"/>
          <w:sz w:val="22"/>
        </w:rPr>
        <w:t>: embargo desde 2014, diversificación a Oriente Medio, Norteamérica y Asia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Guerra Rusia-Ucrania</w:t>
      </w:r>
      <w:r>
        <w:rPr>
          <w:rFonts w:ascii="Cambria" w:hAnsi="Cambria" w:cs="Cambria" w:eastAsia="Cambria"/>
          <w:sz w:val="22"/>
        </w:rPr>
        <w:t>: mayores costes energéticos, logísticos y de fertilizantes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Reino Unido</w:t>
      </w:r>
      <w:r>
        <w:rPr>
          <w:rFonts w:ascii="Cambria" w:hAnsi="Cambria" w:cs="Cambria" w:eastAsia="Cambria"/>
          <w:sz w:val="22"/>
        </w:rPr>
        <w:t>: Acuerdo de Comercio y Cooperación sin aranceles, más controles fitosanitarios. Acuerdo sanitario y fitosanitario en 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Marruecos</w:t>
      </w:r>
      <w:r>
        <w:rPr>
          <w:rFonts w:ascii="Cambria" w:hAnsi="Cambria" w:cs="Cambria" w:eastAsia="Cambria"/>
          <w:sz w:val="22"/>
        </w:rPr>
        <w:t>: Acuerdo de Asociación (contingentes y precios de entrada reducidos), modificado en 2025 tras la sentencia del TJUE de octubre de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Productos sensibles: tomate, pimiento, judía verde, calabacín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Tendencias de consumo: frescos, saludables, ecológicos, conveniencia, sostenibilidad y trazabilidad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España, </w:t>
      </w:r>
      <w:r>
        <w:rPr>
          <w:rFonts w:ascii="Cambria" w:hAnsi="Cambria" w:cs="Cambria" w:eastAsia="Cambria"/>
          <w:b/>
          <w:sz w:val="22"/>
        </w:rPr>
        <w:t>principal exportador de hortalizas frescas de la UE</w:t>
      </w:r>
      <w:r>
        <w:rPr>
          <w:rFonts w:ascii="Cambria" w:hAnsi="Cambria" w:cs="Cambria" w:eastAsia="Cambria"/>
          <w:sz w:val="22"/>
        </w:rPr>
        <w:t>, con fuerte orientación comunitaria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 xml:space="preserve">: Acuerdo Interino de Comercio firmado en enero de 2026, aplicación provisional del pilar comercial desde el </w:t>
      </w:r>
      <w:r>
        <w:rPr>
          <w:rFonts w:ascii="Cambria" w:hAnsi="Cambria" w:cs="Cambria" w:eastAsia="Cambria"/>
          <w:b/>
          <w:sz w:val="22"/>
        </w:rPr>
        <w:t>1 de mayo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Acuerdo de Asociación pendiente de ratificación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Liberalización progresiva, contingentes y salvaguardia bilateral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Impacto limitado (perecedero, distancia). Atención a ajo y cebolla (Argentina)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Presión más directa: </w:t>
      </w:r>
      <w:r>
        <w:rPr>
          <w:rFonts w:ascii="Cambria" w:hAnsi="Cambria" w:cs="Cambria" w:eastAsia="Cambria"/>
          <w:b/>
          <w:sz w:val="22"/>
        </w:rPr>
        <w:t>Marruecos</w:t>
      </w:r>
      <w:r>
        <w:rPr>
          <w:rFonts w:ascii="Cambria" w:hAnsi="Cambria" w:cs="Cambria" w:eastAsia="Cambria"/>
          <w:sz w:val="22"/>
        </w:rPr>
        <w:t xml:space="preserve"> (tomate, pimiento, judía verde, calabacín)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Respuesta: diferenciación, innovación varietal, calidad, sostenibilidad y estándares equivalentes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</w:t>
      </w:r>
      <w:r>
        <w:rPr>
          <w:rFonts w:ascii="Cambria" w:hAnsi="Cambria" w:cs="Cambria" w:eastAsia="Cambria"/>
          <w:b/>
          <w:sz w:val="22"/>
        </w:rPr>
        <w:t>control SOIVRE</w:t>
      </w:r>
      <w:r>
        <w:rPr>
          <w:rFonts w:ascii="Cambria" w:hAnsi="Cambria" w:cs="Cambria" w:eastAsia="Cambria"/>
          <w:sz w:val="22"/>
        </w:rPr>
        <w:t xml:space="preserve"> garantiza las mismas reglas de calidad comercial a lo importado y a lo exportado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 – Sector de hortalizas frescas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 – Sector de hortalizas frescas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