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Normalización</w:t>
      </w:r>
      <w:r>
        <w:rPr>
          <w:rFonts w:ascii="Cambria" w:hAnsi="Cambria" w:cs="Cambria" w:eastAsia="Cambria"/>
          <w:sz w:val="22"/>
        </w:rPr>
        <w:t xml:space="preserve">: actividad </w:t>
      </w:r>
      <w:r>
        <w:rPr>
          <w:rFonts w:ascii="Cambria" w:hAnsi="Cambria" w:cs="Cambria" w:eastAsia="Cambria"/>
          <w:b/>
          <w:sz w:val="22"/>
        </w:rPr>
        <w:t>voluntaria</w:t>
      </w:r>
      <w:r>
        <w:rPr>
          <w:rFonts w:ascii="Cambria" w:hAnsi="Cambria" w:cs="Cambria" w:eastAsia="Cambria"/>
          <w:sz w:val="22"/>
        </w:rPr>
        <w:t xml:space="preserve">, basada en el </w:t>
      </w:r>
      <w:r>
        <w:rPr>
          <w:rFonts w:ascii="Cambria" w:hAnsi="Cambria" w:cs="Cambria" w:eastAsia="Cambria"/>
          <w:b/>
          <w:sz w:val="22"/>
        </w:rPr>
        <w:t>consenso</w:t>
      </w:r>
      <w:r>
        <w:rPr>
          <w:rFonts w:ascii="Cambria" w:hAnsi="Cambria" w:cs="Cambria" w:eastAsia="Cambria"/>
          <w:sz w:val="22"/>
        </w:rPr>
        <w:t>, desarrollada por y para las partes interesadas en organismos independientes y reconocidos, para adoptar normas de cumplimiento voluntario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</w:t>
      </w:r>
      <w:r>
        <w:rPr>
          <w:rFonts w:ascii="Cambria" w:hAnsi="Cambria" w:cs="Cambria" w:eastAsia="Cambria"/>
          <w:sz w:val="22"/>
        </w:rPr>
        <w:t xml:space="preserve"> (Acuerdo </w:t>
      </w:r>
      <w:r>
        <w:rPr>
          <w:rFonts w:ascii="Cambria" w:hAnsi="Cambria" w:cs="Cambria" w:eastAsia="Cambria"/>
          <w:b/>
          <w:sz w:val="22"/>
        </w:rPr>
        <w:t>TBT</w:t>
      </w:r>
      <w:r>
        <w:rPr>
          <w:rFonts w:ascii="Cambria" w:hAnsi="Cambria" w:cs="Cambria" w:eastAsia="Cambria"/>
          <w:sz w:val="22"/>
        </w:rPr>
        <w:t xml:space="preserve"> de la OMC): documento aprobado por institución reconocida, para uso común y repetido, con reglas, directrices o características de productos o procesos, </w:t>
      </w:r>
      <w:r>
        <w:rPr>
          <w:rFonts w:ascii="Cambria" w:hAnsi="Cambria" w:cs="Cambria" w:eastAsia="Cambria"/>
          <w:b/>
          <w:sz w:val="22"/>
        </w:rPr>
        <w:t>no obligatoria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Puede incluir terminología, símbolos, embalaje, marcado, etiquetado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Importancia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Indica calidad y seguridad del producto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 internacional reconocida, menos dificultades en otros mercados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Lenguaje común</w:t>
      </w:r>
      <w:r>
        <w:rPr>
          <w:rFonts w:ascii="Cambria" w:hAnsi="Cambria" w:cs="Cambria" w:eastAsia="Cambria"/>
          <w:sz w:val="22"/>
        </w:rPr>
        <w:t xml:space="preserve"> entre fabricantes, administraciones, comercializadores y consumidores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Su no seguimiento crea obstáculos al comercio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Una norma es más internacional cuanto más países participan en su elaboración. Escalones: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Las Tres Hermanas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OMSA</w:t>
      </w:r>
      <w:r>
        <w:rPr>
          <w:rFonts w:ascii="Cambria" w:hAnsi="Cambria" w:cs="Cambria" w:eastAsia="Cambria"/>
          <w:sz w:val="22"/>
        </w:rPr>
        <w:t xml:space="preserve"> (antigua OIE), </w:t>
      </w:r>
      <w:r>
        <w:rPr>
          <w:rFonts w:ascii="Cambria" w:hAnsi="Cambria" w:cs="Cambria" w:eastAsia="Cambria"/>
          <w:b/>
          <w:sz w:val="22"/>
        </w:rPr>
        <w:t>CIPF</w:t>
      </w:r>
      <w:r>
        <w:rPr>
          <w:rFonts w:ascii="Cambria" w:hAnsi="Cambria" w:cs="Cambria" w:eastAsia="Cambria"/>
          <w:sz w:val="22"/>
        </w:rPr>
        <w:t xml:space="preserve"> (FAO). Reconocidas expresamente por el Acuerdo </w:t>
      </w:r>
      <w:r>
        <w:rPr>
          <w:rFonts w:ascii="Cambria" w:hAnsi="Cambria" w:cs="Cambria" w:eastAsia="Cambria"/>
          <w:b/>
          <w:sz w:val="22"/>
        </w:rPr>
        <w:t>SPS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ISO</w:t>
      </w:r>
      <w:r>
        <w:rPr>
          <w:rFonts w:ascii="Cambria" w:hAnsi="Cambria" w:cs="Cambria" w:eastAsia="Cambria"/>
          <w:sz w:val="22"/>
        </w:rPr>
        <w:t>: organismo de referencia permanente en el Acuerdo TBT, considerado implícitamente internacional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CEPE/NU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UE</w:t>
      </w:r>
      <w:r>
        <w:rPr>
          <w:rFonts w:ascii="Cambria" w:hAnsi="Cambria" w:cs="Cambria" w:eastAsia="Cambria"/>
          <w:sz w:val="22"/>
        </w:rPr>
        <w:t>: carácter regional, menor internacionalidad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Regionales: </w:t>
      </w:r>
      <w:r>
        <w:rPr>
          <w:rFonts w:ascii="Cambria" w:hAnsi="Cambria" w:cs="Cambria" w:eastAsia="Cambria"/>
          <w:b/>
          <w:sz w:val="22"/>
        </w:rPr>
        <w:t>COPANT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ARSO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ACCSQ</w:t>
      </w:r>
      <w:r>
        <w:rPr>
          <w:rFonts w:ascii="Cambria" w:hAnsi="Cambria" w:cs="Cambria" w:eastAsia="Cambria"/>
          <w:sz w:val="22"/>
        </w:rPr>
        <w:t xml:space="preserve">, y europeos </w:t>
      </w:r>
      <w:r>
        <w:rPr>
          <w:rFonts w:ascii="Cambria" w:hAnsi="Cambria" w:cs="Cambria" w:eastAsia="Cambria"/>
          <w:b/>
          <w:sz w:val="22"/>
        </w:rPr>
        <w:t>CEN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CENELEC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ETSI</w:t>
      </w:r>
      <w:r>
        <w:rPr>
          <w:rFonts w:ascii="Cambria" w:hAnsi="Cambria" w:cs="Cambria" w:eastAsia="Cambria"/>
          <w:sz w:val="22"/>
        </w:rPr>
        <w:t xml:space="preserve"> (en España, AENOR), clave en productos industriales y </w:t>
      </w:r>
      <w:r>
        <w:rPr>
          <w:rFonts w:ascii="Cambria" w:hAnsi="Cambria" w:cs="Cambria" w:eastAsia="Cambria"/>
          <w:b/>
          <w:sz w:val="22"/>
        </w:rPr>
        <w:t>Nuevo Enfoque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Acuerdo TBT: obliga a los Miembros de la OMC a usar normas internacionales cuando existan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Estructura del tema: ámbito geográfico (internacional, regional, nacional) y subclasificación gubernamental o privado. Después normalización privada (ISO, CEN, CENELEC, AENOR) y protocolos de buenas prácticas (GLOBAL/GAP y otros)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ORGANISMOS INTERNACIONALES DE NORMALIZACIÓN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Organismos internacionales de carácter gubernamental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Programa Conjunto </w:t>
      </w:r>
      <w:r>
        <w:rPr>
          <w:rFonts w:ascii="Cambria" w:hAnsi="Cambria" w:cs="Cambria" w:eastAsia="Cambria"/>
          <w:b/>
          <w:sz w:val="22"/>
        </w:rPr>
        <w:t>FAO/OMS</w:t>
      </w:r>
      <w:r>
        <w:rPr>
          <w:rFonts w:ascii="Cambria" w:hAnsi="Cambria" w:cs="Cambria" w:eastAsia="Cambria"/>
          <w:sz w:val="22"/>
        </w:rPr>
        <w:t xml:space="preserve"> de Normalización Alimentaria, referencia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Comisión: </w:t>
      </w:r>
      <w:r>
        <w:rPr>
          <w:rFonts w:ascii="Cambria" w:hAnsi="Cambria" w:cs="Cambria" w:eastAsia="Cambria"/>
          <w:b/>
          <w:sz w:val="22"/>
        </w:rPr>
        <w:t>189 Miembros</w:t>
      </w:r>
      <w:r>
        <w:rPr>
          <w:rFonts w:ascii="Cambria" w:hAnsi="Cambria" w:cs="Cambria" w:eastAsia="Cambria"/>
          <w:sz w:val="22"/>
        </w:rPr>
        <w:t xml:space="preserve"> (188 Estados y la UE)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Proteger la salud de los consumidores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Prácticas equitativas en el comercio internacional, proceso transparente con todas las partes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Coordinar trabajos sobre normas alimentarias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Preparar proyectos de norma y publicarlos como norma regional o mundial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Estratégico 2026-2031</w:t>
      </w:r>
      <w:r>
        <w:rPr>
          <w:rFonts w:ascii="Cambria" w:hAnsi="Cambria" w:cs="Cambria" w:eastAsia="Cambria"/>
          <w:sz w:val="22"/>
        </w:rPr>
        <w:t>: adoptado en la 47ª reunión de la Comisión, en vigor desde 1 enero 2026, sustituye al 2020-2025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OMSA/WOAH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Fundada en </w:t>
      </w:r>
      <w:r>
        <w:rPr>
          <w:rFonts w:ascii="Cambria" w:hAnsi="Cambria" w:cs="Cambria" w:eastAsia="Cambria"/>
          <w:b/>
          <w:sz w:val="22"/>
        </w:rPr>
        <w:t>1924</w:t>
      </w:r>
      <w:r>
        <w:rPr>
          <w:rFonts w:ascii="Cambria" w:hAnsi="Cambria" w:cs="Cambria" w:eastAsia="Cambria"/>
          <w:sz w:val="22"/>
        </w:rPr>
        <w:t xml:space="preserve"> como OIE, acrónimo WOAH desde </w:t>
      </w:r>
      <w:r>
        <w:rPr>
          <w:rFonts w:ascii="Cambria" w:hAnsi="Cambria" w:cs="Cambria" w:eastAsia="Cambria"/>
          <w:b/>
          <w:sz w:val="22"/>
        </w:rPr>
        <w:t>2022</w:t>
      </w:r>
      <w:r>
        <w:rPr>
          <w:rFonts w:ascii="Cambria" w:hAnsi="Cambria" w:cs="Cambria" w:eastAsia="Cambria"/>
          <w:sz w:val="22"/>
        </w:rPr>
        <w:t xml:space="preserve">. Organización intergubernamental, </w:t>
      </w:r>
      <w:r>
        <w:rPr>
          <w:rFonts w:ascii="Cambria" w:hAnsi="Cambria" w:cs="Cambria" w:eastAsia="Cambria"/>
          <w:b/>
          <w:sz w:val="22"/>
        </w:rPr>
        <w:t>183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Objetivos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Transparencia sobre enfermedades animales (peste porcina, gripe aviar, EEB, fiebre aftosa)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Asesoramiento y solidaridad internacional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Salvaguardar el comercio por mandato del Acuerdo SPS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Código</w:t>
      </w:r>
      <w:r>
        <w:rPr>
          <w:rFonts w:ascii="Cambria" w:hAnsi="Cambria" w:cs="Cambria" w:eastAsia="Cambria"/>
          <w:sz w:val="22"/>
        </w:rPr>
        <w:t>: criterios para el comercio de animales y productos afectados por enfermedad (ej. EEB, productos sin riesgo)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8º Plan Estratégico 2027-2031</w:t>
      </w:r>
      <w:r>
        <w:rPr>
          <w:rFonts w:ascii="Cambria" w:hAnsi="Cambria" w:cs="Cambria" w:eastAsia="Cambria"/>
          <w:sz w:val="22"/>
        </w:rPr>
        <w:t>, adoptado el 20 de mayo de 2026, en vigor en 2027. Sustituye al 7º (2021-2025, prolongado en 2026 como transición). Normas, sistemas de salud animal, One Health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CIPF/IPPC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Tratado internacional, </w:t>
      </w:r>
      <w:r>
        <w:rPr>
          <w:rFonts w:ascii="Cambria" w:hAnsi="Cambria" w:cs="Cambria" w:eastAsia="Cambria"/>
          <w:b/>
          <w:sz w:val="22"/>
        </w:rPr>
        <w:t>185 partes contratantes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de protección de plantas y certificación fitosanitaria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relevantes: análisis de riesgo de plagas, programas de erradicación, embalajes de madera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Embalaje de madera: tratamiento para eliminar plagas, incorporado a la legislación de muchos países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Primera disputa en su seno: </w:t>
      </w:r>
      <w:r>
        <w:rPr>
          <w:rFonts w:ascii="Cambria" w:hAnsi="Cambria" w:cs="Cambria" w:eastAsia="Cambria"/>
          <w:b/>
          <w:sz w:val="22"/>
        </w:rPr>
        <w:t>Citrus Black Spot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IMO/OMI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Organización de Naciones Unidas, </w:t>
      </w:r>
      <w:r>
        <w:rPr>
          <w:rFonts w:ascii="Cambria" w:hAnsi="Cambria" w:cs="Cambria" w:eastAsia="Cambria"/>
          <w:b/>
          <w:sz w:val="22"/>
        </w:rPr>
        <w:t>176 Miembros</w:t>
      </w:r>
      <w:r>
        <w:rPr>
          <w:rFonts w:ascii="Cambria" w:hAnsi="Cambria" w:cs="Cambria" w:eastAsia="Cambria"/>
          <w:sz w:val="22"/>
        </w:rPr>
        <w:t xml:space="preserve"> y 3 Asociados, exclusivamente marítima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Seguridad marítima, eficiencia de la navegación, prevención de contaminación por buques (</w:t>
      </w:r>
      <w:r>
        <w:rPr>
          <w:rFonts w:ascii="Cambria" w:hAnsi="Cambria" w:cs="Cambria" w:eastAsia="Cambria"/>
          <w:b/>
          <w:sz w:val="22"/>
        </w:rPr>
        <w:t>MARPOL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SOLAS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ARQUEO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ITU/UIT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Sistema de Naciones Unidas: </w:t>
      </w:r>
      <w:r>
        <w:rPr>
          <w:rFonts w:ascii="Cambria" w:hAnsi="Cambria" w:cs="Cambria" w:eastAsia="Cambria"/>
          <w:b/>
          <w:sz w:val="22"/>
        </w:rPr>
        <w:t>193 países</w:t>
      </w:r>
      <w:r>
        <w:rPr>
          <w:rFonts w:ascii="Cambria" w:hAnsi="Cambria" w:cs="Cambria" w:eastAsia="Cambria"/>
          <w:sz w:val="22"/>
        </w:rPr>
        <w:t xml:space="preserve"> y más de </w:t>
      </w:r>
      <w:r>
        <w:rPr>
          <w:rFonts w:ascii="Cambria" w:hAnsi="Cambria" w:cs="Cambria" w:eastAsia="Cambria"/>
          <w:b/>
          <w:sz w:val="22"/>
        </w:rPr>
        <w:t>900</w:t>
      </w:r>
      <w:r>
        <w:rPr>
          <w:rFonts w:ascii="Cambria" w:hAnsi="Cambria" w:cs="Cambria" w:eastAsia="Cambria"/>
          <w:sz w:val="22"/>
        </w:rPr>
        <w:t xml:space="preserve"> entidades privadas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Coordina servicios y redes de telecomunicaciones, normalización como actividad principal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 Estratégico 2024-2027</w:t>
      </w:r>
      <w:r>
        <w:rPr>
          <w:rFonts w:ascii="Cambria" w:hAnsi="Cambria" w:cs="Cambria" w:eastAsia="Cambria"/>
          <w:sz w:val="22"/>
        </w:rPr>
        <w:t xml:space="preserve"> (Bucarest 2022): conectividad inclusiva y segura, transformación digital sostenible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Organismos internacionales de carácter no gubernamental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IEC/CEI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ONG del área eléctrica: </w:t>
      </w:r>
      <w:r>
        <w:rPr>
          <w:rFonts w:ascii="Cambria" w:hAnsi="Cambria" w:cs="Cambria" w:eastAsia="Cambria"/>
          <w:b/>
          <w:sz w:val="22"/>
        </w:rPr>
        <w:t>63</w:t>
      </w:r>
      <w:r>
        <w:rPr>
          <w:rFonts w:ascii="Cambria" w:hAnsi="Cambria" w:cs="Cambria" w:eastAsia="Cambria"/>
          <w:sz w:val="22"/>
        </w:rPr>
        <w:t xml:space="preserve"> miembros de pleno derecho y </w:t>
      </w:r>
      <w:r>
        <w:rPr>
          <w:rFonts w:ascii="Cambria" w:hAnsi="Cambria" w:cs="Cambria" w:eastAsia="Cambria"/>
          <w:b/>
          <w:sz w:val="22"/>
        </w:rPr>
        <w:t>27</w:t>
      </w:r>
      <w:r>
        <w:rPr>
          <w:rFonts w:ascii="Cambria" w:hAnsi="Cambria" w:cs="Cambria" w:eastAsia="Cambria"/>
          <w:sz w:val="22"/>
        </w:rPr>
        <w:t xml:space="preserve"> asociados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Normalización electrotécnica y evaluación de la conformidad en eléctrico, electrónico y afines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Comité especial </w:t>
      </w:r>
      <w:r>
        <w:rPr>
          <w:rFonts w:ascii="Cambria" w:hAnsi="Cambria" w:cs="Cambria" w:eastAsia="Cambria"/>
          <w:b/>
          <w:sz w:val="22"/>
        </w:rPr>
        <w:t>CISPR</w:t>
      </w:r>
      <w:r>
        <w:rPr>
          <w:rFonts w:ascii="Cambria" w:hAnsi="Cambria" w:cs="Cambria" w:eastAsia="Cambria"/>
          <w:sz w:val="22"/>
        </w:rPr>
        <w:t>: interferencias radioeléctricas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ISO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Federación de organismos nacionales, uno por país, </w:t>
      </w:r>
      <w:r>
        <w:rPr>
          <w:rFonts w:ascii="Cambria" w:hAnsi="Cambria" w:cs="Cambria" w:eastAsia="Cambria"/>
          <w:b/>
          <w:sz w:val="22"/>
        </w:rPr>
        <w:t>175 miembros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Misión: fomentar la normalización mundial para favorecer intercambios y cooperación intelectual, científica, tecnológica y económica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Organismo de referencia del Acuerdo TBT, suscribe su </w:t>
      </w:r>
      <w:r>
        <w:rPr>
          <w:rFonts w:ascii="Cambria" w:hAnsi="Cambria" w:cs="Cambria" w:eastAsia="Cambria"/>
          <w:b/>
          <w:sz w:val="22"/>
        </w:rPr>
        <w:t>Código de Buena Conducta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Financiación: cuotas de Miembros y venta de normas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de </w:t>
      </w:r>
      <w:r>
        <w:rPr>
          <w:rFonts w:ascii="Cambria" w:hAnsi="Cambria" w:cs="Cambria" w:eastAsia="Cambria"/>
          <w:b/>
          <w:sz w:val="22"/>
        </w:rPr>
        <w:t>300 comités técnicos</w:t>
      </w:r>
      <w:r>
        <w:rPr>
          <w:rFonts w:ascii="Cambria" w:hAnsi="Cambria" w:cs="Cambria" w:eastAsia="Cambria"/>
          <w:sz w:val="22"/>
        </w:rPr>
        <w:t xml:space="preserve"> (TC), con subcomités y grupos de trabajo. Mayoría de productos no alimenticios, excepción </w:t>
      </w:r>
      <w:r>
        <w:rPr>
          <w:rFonts w:ascii="Cambria" w:hAnsi="Cambria" w:cs="Cambria" w:eastAsia="Cambria"/>
          <w:b/>
          <w:sz w:val="22"/>
        </w:rPr>
        <w:t>TC34</w:t>
      </w:r>
      <w:r>
        <w:rPr>
          <w:rFonts w:ascii="Cambria" w:hAnsi="Cambria" w:cs="Cambria" w:eastAsia="Cambria"/>
          <w:sz w:val="22"/>
        </w:rPr>
        <w:t xml:space="preserve"> (Food Products). Presididos por un Miembro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voluntarias, algunas incorporadas a legislación (seguridad, salud). Consenso, un voto por Miembro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Estrategia 2030</w:t>
      </w:r>
      <w:r>
        <w:rPr>
          <w:rFonts w:ascii="Cambria" w:hAnsi="Cambria" w:cs="Cambria" w:eastAsia="Cambria"/>
          <w:sz w:val="22"/>
        </w:rPr>
        <w:t xml:space="preserve"> desde 2021, sustituye a la 2016-2020, alineada con Agenda 2030 de la ONU, horizonte cercano a diez años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Coordinación con CODEX: revisión periódica de </w:t>
      </w:r>
      <w:r>
        <w:rPr>
          <w:rFonts w:ascii="Cambria" w:hAnsi="Cambria" w:cs="Cambria" w:eastAsia="Cambria"/>
          <w:b/>
          <w:sz w:val="22"/>
        </w:rPr>
        <w:t>ISO 22000</w:t>
      </w:r>
      <w:r>
        <w:rPr>
          <w:rFonts w:ascii="Cambria" w:hAnsi="Cambria" w:cs="Cambria" w:eastAsia="Cambria"/>
          <w:sz w:val="22"/>
        </w:rPr>
        <w:t xml:space="preserve"> (seguridad alimentaria)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Elaboración en </w:t>
      </w:r>
      <w:r>
        <w:rPr>
          <w:rFonts w:ascii="Cambria" w:hAnsi="Cambria" w:cs="Cambria" w:eastAsia="Cambria"/>
          <w:b/>
          <w:sz w:val="22"/>
        </w:rPr>
        <w:t>3 etapas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Necesidad pedida por la industria a su organismo nacional, que la transmite a ISO. Alcance técnico por grupos de expertos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Especificaciones técnicas por consenso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Aprobación formal: al menos </w:t>
      </w:r>
      <w:r>
        <w:rPr>
          <w:rFonts w:ascii="Cambria" w:hAnsi="Cambria" w:cs="Cambria" w:eastAsia="Cambria"/>
          <w:b/>
          <w:sz w:val="22"/>
        </w:rPr>
        <w:t>dos tercios</w:t>
      </w:r>
      <w:r>
        <w:rPr>
          <w:rFonts w:ascii="Cambria" w:hAnsi="Cambria" w:cs="Cambria" w:eastAsia="Cambria"/>
          <w:sz w:val="22"/>
        </w:rPr>
        <w:t xml:space="preserve"> de los Miembros participantes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Más de </w:t>
      </w:r>
      <w:r>
        <w:rPr>
          <w:rFonts w:ascii="Cambria" w:hAnsi="Cambria" w:cs="Cambria" w:eastAsia="Cambria"/>
          <w:b/>
          <w:sz w:val="22"/>
        </w:rPr>
        <w:t>26.000</w:t>
      </w:r>
      <w:r>
        <w:rPr>
          <w:rFonts w:ascii="Cambria" w:hAnsi="Cambria" w:cs="Cambria" w:eastAsia="Cambria"/>
          <w:sz w:val="22"/>
        </w:rPr>
        <w:t xml:space="preserve"> normas. Destacadas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Códigos de países (tres letras) y de monedas (tres dígitos)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ISOFIX</w:t>
      </w:r>
      <w:r>
        <w:rPr>
          <w:rFonts w:ascii="Cambria" w:hAnsi="Cambria" w:cs="Cambria" w:eastAsia="Cambria"/>
          <w:sz w:val="22"/>
        </w:rPr>
        <w:t>: seguridad de pasajeros en vehículos, sillas infantiles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Gestión: </w:t>
      </w:r>
      <w:r>
        <w:rPr>
          <w:rFonts w:ascii="Cambria" w:hAnsi="Cambria" w:cs="Cambria" w:eastAsia="Cambria"/>
          <w:b/>
          <w:sz w:val="22"/>
        </w:rPr>
        <w:t>ISO 9000</w:t>
      </w:r>
      <w:r>
        <w:rPr>
          <w:rFonts w:ascii="Cambria" w:hAnsi="Cambria" w:cs="Cambria" w:eastAsia="Cambria"/>
          <w:sz w:val="22"/>
        </w:rPr>
        <w:t xml:space="preserve"> (calidad) e </w:t>
      </w:r>
      <w:r>
        <w:rPr>
          <w:rFonts w:ascii="Cambria" w:hAnsi="Cambria" w:cs="Cambria" w:eastAsia="Cambria"/>
          <w:b/>
          <w:sz w:val="22"/>
        </w:rPr>
        <w:t>ISO 14000</w:t>
      </w:r>
      <w:r>
        <w:rPr>
          <w:rFonts w:ascii="Cambria" w:hAnsi="Cambria" w:cs="Cambria" w:eastAsia="Cambria"/>
          <w:sz w:val="22"/>
        </w:rPr>
        <w:t xml:space="preserve"> (medioambiente)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ORGANISMOS REGIONALES DE NORMALIZACIÓN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3.1. Organismos regionales de carácter gubernamental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CEPE/NU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Creada en </w:t>
      </w:r>
      <w:r>
        <w:rPr>
          <w:rFonts w:ascii="Cambria" w:hAnsi="Cambria" w:cs="Cambria" w:eastAsia="Cambria"/>
          <w:b/>
          <w:sz w:val="22"/>
        </w:rPr>
        <w:t>1947</w:t>
      </w:r>
      <w:r>
        <w:rPr>
          <w:rFonts w:ascii="Cambria" w:hAnsi="Cambria" w:cs="Cambria" w:eastAsia="Cambria"/>
          <w:sz w:val="22"/>
        </w:rPr>
        <w:t xml:space="preserve"> por el ECOSOC, una de las 5 Comisiones Regionales de la ONU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56 países</w:t>
      </w:r>
      <w:r>
        <w:rPr>
          <w:rFonts w:ascii="Cambria" w:hAnsi="Cambria" w:cs="Cambria" w:eastAsia="Cambria"/>
          <w:sz w:val="22"/>
        </w:rPr>
        <w:t xml:space="preserve"> (europeos, EEUU, Canadá, Israel, Turquía, Asia Central). Sede en </w:t>
      </w:r>
      <w:r>
        <w:rPr>
          <w:rFonts w:ascii="Cambria" w:hAnsi="Cambria" w:cs="Cambria" w:eastAsia="Cambria"/>
          <w:b/>
          <w:sz w:val="22"/>
        </w:rPr>
        <w:t>Ginebra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Normas-Cuadro</w:t>
      </w:r>
      <w:r>
        <w:rPr>
          <w:rFonts w:ascii="Cambria" w:hAnsi="Cambria" w:cs="Cambria" w:eastAsia="Cambria"/>
          <w:sz w:val="22"/>
        </w:rPr>
        <w:t xml:space="preserve">: esquema y contenido básico de una norma de calidad, desarrollan el </w:t>
      </w:r>
      <w:r>
        <w:rPr>
          <w:rFonts w:ascii="Cambria" w:hAnsi="Cambria" w:cs="Cambria" w:eastAsia="Cambria"/>
          <w:b/>
          <w:sz w:val="22"/>
        </w:rPr>
        <w:t>Acuerdo o Entendimiento de Ginebra</w:t>
      </w:r>
      <w:r>
        <w:rPr>
          <w:rFonts w:ascii="Cambria" w:hAnsi="Cambria" w:cs="Cambria" w:eastAsia="Cambria"/>
          <w:sz w:val="22"/>
        </w:rPr>
        <w:t xml:space="preserve"> (sustituye al Protocolo de Ginebra)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Sus normas son base de las normas de calidad agroalimentarias de la UE, según las OCM y la actual </w:t>
      </w:r>
      <w:r>
        <w:rPr>
          <w:rFonts w:ascii="Cambria" w:hAnsi="Cambria" w:cs="Cambria" w:eastAsia="Cambria"/>
          <w:b/>
          <w:sz w:val="22"/>
        </w:rPr>
        <w:t>OCM Única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3.2. Organismos regionales europeos de carácter no gubernamental (privados)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Nuevo Enfoque</w:t>
      </w:r>
      <w:r>
        <w:rPr>
          <w:rFonts w:ascii="Cambria" w:hAnsi="Cambria" w:cs="Cambria" w:eastAsia="Cambria"/>
          <w:sz w:val="22"/>
        </w:rPr>
        <w:t>: técnica de reglamentación para culminar el Mercado Único en 1993 y eliminar obstáculos a la libre circulación. Principios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Armonización legislativa limitada a </w:t>
      </w:r>
      <w:r>
        <w:rPr>
          <w:rFonts w:ascii="Cambria" w:hAnsi="Cambria" w:cs="Cambria" w:eastAsia="Cambria"/>
          <w:b/>
          <w:sz w:val="22"/>
        </w:rPr>
        <w:t>requisitos esenciales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Especificaciones técnicas en </w:t>
      </w:r>
      <w:r>
        <w:rPr>
          <w:rFonts w:ascii="Cambria" w:hAnsi="Cambria" w:cs="Cambria" w:eastAsia="Cambria"/>
          <w:b/>
          <w:sz w:val="22"/>
        </w:rPr>
        <w:t>Normas Armonizadas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Aplicación voluntaria, el fabricante puede usar otras especificaciones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Presunción de conformidad</w:t>
      </w:r>
      <w:r>
        <w:rPr>
          <w:rFonts w:ascii="Cambria" w:hAnsi="Cambria" w:cs="Cambria" w:eastAsia="Cambria"/>
          <w:sz w:val="22"/>
        </w:rPr>
        <w:t xml:space="preserve"> para productos conformes a normas armonizadas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Normas armonizadas: normas europeas de organismos europeos, según Directrices Generales Comisión-organismos y </w:t>
      </w:r>
      <w:r>
        <w:rPr>
          <w:rFonts w:ascii="Cambria" w:hAnsi="Cambria" w:cs="Cambria" w:eastAsia="Cambria"/>
          <w:b/>
          <w:sz w:val="22"/>
        </w:rPr>
        <w:t>mandato</w:t>
      </w:r>
      <w:r>
        <w:rPr>
          <w:rFonts w:ascii="Cambria" w:hAnsi="Cambria" w:cs="Cambria" w:eastAsia="Cambria"/>
          <w:sz w:val="22"/>
        </w:rPr>
        <w:t xml:space="preserve"> de la Comisión previa consulta a los Estados Miembros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1961</w:t>
      </w:r>
      <w:r>
        <w:rPr>
          <w:rFonts w:ascii="Cambria" w:hAnsi="Cambria" w:cs="Cambria" w:eastAsia="Cambria"/>
          <w:sz w:val="22"/>
        </w:rPr>
        <w:t>. Promueve normas armonizadas voluntarias: menos barreras técnicas, seguridad de productos, trabajadores y consumidores, medioambiente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Miembros: organismos nacionales de </w:t>
      </w:r>
      <w:r>
        <w:rPr>
          <w:rFonts w:ascii="Cambria" w:hAnsi="Cambria" w:cs="Cambria" w:eastAsia="Cambria"/>
          <w:b/>
          <w:sz w:val="22"/>
        </w:rPr>
        <w:t>34 Estados</w:t>
      </w:r>
      <w:r>
        <w:rPr>
          <w:rFonts w:ascii="Cambria" w:hAnsi="Cambria" w:cs="Cambria" w:eastAsia="Cambria"/>
          <w:sz w:val="22"/>
        </w:rPr>
        <w:t xml:space="preserve"> (UNE, AFNOR, BSI, EFTA, Europa del Este y Central)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Colabora con CENELEC y ETSI y con </w:t>
      </w:r>
      <w:r>
        <w:rPr>
          <w:rFonts w:ascii="Cambria" w:hAnsi="Cambria" w:cs="Cambria" w:eastAsia="Cambria"/>
          <w:b/>
          <w:sz w:val="22"/>
        </w:rPr>
        <w:t>ISO</w:t>
      </w:r>
      <w:r>
        <w:rPr>
          <w:rFonts w:ascii="Cambria" w:hAnsi="Cambria" w:cs="Cambria" w:eastAsia="Cambria"/>
          <w:sz w:val="22"/>
        </w:rPr>
        <w:t xml:space="preserve">. Suscribe el Código de Buena Conducta del TBT. </w:t>
      </w:r>
      <w:r>
        <w:rPr>
          <w:rFonts w:ascii="Cambria" w:hAnsi="Cambria" w:cs="Cambria" w:eastAsia="Cambria"/>
          <w:b/>
          <w:sz w:val="22"/>
        </w:rPr>
        <w:t>Acuerdo de Viena (1991)</w:t>
      </w:r>
      <w:r>
        <w:rPr>
          <w:rFonts w:ascii="Cambria" w:hAnsi="Cambria" w:cs="Cambria" w:eastAsia="Cambria"/>
          <w:sz w:val="22"/>
        </w:rPr>
        <w:t>: cooperación técnica ISO-CEN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Comités técnicos (CEN/TC) con subcomités y grupos de trabajo. Participan todas las partes interesadas. </w:t>
      </w:r>
      <w:r>
        <w:rPr>
          <w:rFonts w:ascii="Cambria" w:hAnsi="Cambria" w:cs="Cambria" w:eastAsia="Cambria"/>
          <w:b/>
          <w:sz w:val="22"/>
        </w:rPr>
        <w:t>Mayoría cualificada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Coherencia: norma nacional en conflicto con una europea se retira y sustituye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armonizadas para Directivas de Nuevo Enfoque (ascensores, materiales de construcción)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CENELEC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1973</w:t>
      </w:r>
      <w:r>
        <w:rPr>
          <w:rFonts w:ascii="Cambria" w:hAnsi="Cambria" w:cs="Cambria" w:eastAsia="Cambria"/>
          <w:sz w:val="22"/>
        </w:rPr>
        <w:t xml:space="preserve"> bajo ley belga, sede en </w:t>
      </w:r>
      <w:r>
        <w:rPr>
          <w:rFonts w:ascii="Cambria" w:hAnsi="Cambria" w:cs="Cambria" w:eastAsia="Cambria"/>
          <w:b/>
          <w:sz w:val="22"/>
        </w:rPr>
        <w:t>Bruselas</w:t>
      </w:r>
      <w:r>
        <w:rPr>
          <w:rFonts w:ascii="Cambria" w:hAnsi="Cambria" w:cs="Cambria" w:eastAsia="Cambria"/>
          <w:sz w:val="22"/>
        </w:rPr>
        <w:t xml:space="preserve">. Comités electrotécnicos nacionales de </w:t>
      </w:r>
      <w:r>
        <w:rPr>
          <w:rFonts w:ascii="Cambria" w:hAnsi="Cambria" w:cs="Cambria" w:eastAsia="Cambria"/>
          <w:b/>
          <w:sz w:val="22"/>
        </w:rPr>
        <w:t>34 países</w:t>
      </w:r>
      <w:r>
        <w:rPr>
          <w:rFonts w:ascii="Cambria" w:hAnsi="Cambria" w:cs="Cambria" w:eastAsia="Cambria"/>
          <w:sz w:val="22"/>
        </w:rPr>
        <w:t>, otros como asociados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 voluntarias electrotécnicas, por mercado o mandato de la Comisión. Colabora con CEN y ETSI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Procedimiento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Borrador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Estudio de </w:t>
      </w:r>
      <w:r>
        <w:rPr>
          <w:rFonts w:ascii="Cambria" w:hAnsi="Cambria" w:cs="Cambria" w:eastAsia="Cambria"/>
          <w:b/>
          <w:sz w:val="22"/>
        </w:rPr>
        <w:t>6 meses</w:t>
      </w:r>
      <w:r>
        <w:rPr>
          <w:rFonts w:ascii="Cambria" w:hAnsi="Cambria" w:cs="Cambria" w:eastAsia="Cambria"/>
          <w:sz w:val="22"/>
        </w:rPr>
        <w:t>, comentarios en el TC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Votación: mayoría de Comités Nacionales y al menos </w:t>
      </w:r>
      <w:r>
        <w:rPr>
          <w:rFonts w:ascii="Cambria" w:hAnsi="Cambria" w:cs="Cambria" w:eastAsia="Cambria"/>
          <w:b/>
          <w:sz w:val="22"/>
        </w:rPr>
        <w:t>71 %</w:t>
      </w:r>
      <w:r>
        <w:rPr>
          <w:rFonts w:ascii="Cambria" w:hAnsi="Cambria" w:cs="Cambria" w:eastAsia="Cambria"/>
          <w:sz w:val="22"/>
        </w:rPr>
        <w:t xml:space="preserve"> de votos positivos. Votos según tamaño del país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Identificación: letras </w:t>
      </w:r>
      <w:r>
        <w:rPr>
          <w:rFonts w:ascii="Cambria" w:hAnsi="Cambria" w:cs="Cambria" w:eastAsia="Cambria"/>
          <w:b/>
          <w:sz w:val="22"/>
        </w:rPr>
        <w:t>EN</w:t>
      </w:r>
      <w:r>
        <w:rPr>
          <w:rFonts w:ascii="Cambria" w:hAnsi="Cambria" w:cs="Cambria" w:eastAsia="Cambria"/>
          <w:sz w:val="22"/>
        </w:rPr>
        <w:t>, número y año (EN 50225:1996)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ETSI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Creado en </w:t>
      </w:r>
      <w:r>
        <w:rPr>
          <w:rFonts w:ascii="Cambria" w:hAnsi="Cambria" w:cs="Cambria" w:eastAsia="Cambria"/>
          <w:b/>
          <w:sz w:val="22"/>
        </w:rPr>
        <w:t>1988</w:t>
      </w:r>
      <w:r>
        <w:rPr>
          <w:rFonts w:ascii="Cambria" w:hAnsi="Cambria" w:cs="Cambria" w:eastAsia="Cambria"/>
          <w:sz w:val="22"/>
        </w:rPr>
        <w:t xml:space="preserve">, telecomunicaciones. En torno a </w:t>
      </w:r>
      <w:r>
        <w:rPr>
          <w:rFonts w:ascii="Cambria" w:hAnsi="Cambria" w:cs="Cambria" w:eastAsia="Cambria"/>
          <w:b/>
          <w:sz w:val="22"/>
        </w:rPr>
        <w:t>900 Miembros</w:t>
      </w:r>
      <w:r>
        <w:rPr>
          <w:rFonts w:ascii="Cambria" w:hAnsi="Cambria" w:cs="Cambria" w:eastAsia="Cambria"/>
          <w:sz w:val="22"/>
        </w:rPr>
        <w:t xml:space="preserve"> de más de </w:t>
      </w:r>
      <w:r>
        <w:rPr>
          <w:rFonts w:ascii="Cambria" w:hAnsi="Cambria" w:cs="Cambria" w:eastAsia="Cambria"/>
          <w:b/>
          <w:sz w:val="22"/>
        </w:rPr>
        <w:t>60 países</w:t>
      </w:r>
      <w:r>
        <w:rPr>
          <w:rFonts w:ascii="Cambria" w:hAnsi="Cambria" w:cs="Cambria" w:eastAsia="Cambria"/>
          <w:sz w:val="22"/>
        </w:rPr>
        <w:t xml:space="preserve"> (Full y Associate): fabricantes, operadores, administraciones, proveedores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Armonización global. Normas por necesidad de la industria, consenso en Comités Técnicos. También normas de Nuevo Enfoque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ORGANISMOS NACIONALES DE NORMALIZACIÓN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4.1. Organismos nacionales privados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España</w:t>
      </w:r>
      <w:r>
        <w:rPr>
          <w:rFonts w:ascii="Cambria" w:hAnsi="Cambria" w:cs="Cambria" w:eastAsia="Cambria"/>
          <w:sz w:val="22"/>
        </w:rPr>
        <w:t xml:space="preserve">: normalización a cargo de </w:t>
      </w: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 xml:space="preserve"> (Asociación Española de Normalización)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Antes unida a certificación en </w:t>
      </w: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Real Decreto 1614/1985</w:t>
      </w:r>
      <w:r>
        <w:rPr>
          <w:rFonts w:ascii="Cambria" w:hAnsi="Cambria" w:cs="Cambria" w:eastAsia="Cambria"/>
          <w:sz w:val="22"/>
        </w:rPr>
        <w:t xml:space="preserve">, reconocida por </w:t>
      </w:r>
      <w:r>
        <w:rPr>
          <w:rFonts w:ascii="Cambria" w:hAnsi="Cambria" w:cs="Cambria" w:eastAsia="Cambria"/>
          <w:b/>
          <w:sz w:val="22"/>
        </w:rPr>
        <w:t>Real Decreto 2200/1995</w:t>
      </w:r>
      <w:r>
        <w:rPr>
          <w:rFonts w:ascii="Cambria" w:hAnsi="Cambria" w:cs="Cambria" w:eastAsia="Cambria"/>
          <w:sz w:val="22"/>
        </w:rPr>
        <w:t xml:space="preserve">, en desarrollo de la </w:t>
      </w:r>
      <w:r>
        <w:rPr>
          <w:rFonts w:ascii="Cambria" w:hAnsi="Cambria" w:cs="Cambria" w:eastAsia="Cambria"/>
          <w:b/>
          <w:sz w:val="22"/>
        </w:rPr>
        <w:t>Ley 21/1992</w:t>
      </w:r>
      <w:r>
        <w:rPr>
          <w:rFonts w:ascii="Cambria" w:hAnsi="Cambria" w:cs="Cambria" w:eastAsia="Cambria"/>
          <w:sz w:val="22"/>
        </w:rPr>
        <w:t xml:space="preserve"> de Industria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2017</w:t>
      </w:r>
      <w:r>
        <w:rPr>
          <w:rFonts w:ascii="Cambria" w:hAnsi="Cambria" w:cs="Cambria" w:eastAsia="Cambria"/>
          <w:sz w:val="22"/>
        </w:rPr>
        <w:t>: desdoblamiento por exigencias europeas de transparencia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UNE</w:t>
      </w:r>
      <w:r>
        <w:rPr>
          <w:rFonts w:ascii="Cambria" w:hAnsi="Cambria" w:cs="Cambria" w:eastAsia="Cambria"/>
          <w:sz w:val="22"/>
        </w:rPr>
        <w:t>: normalización y cooperación internacional, en exclusiva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AENOR</w:t>
      </w:r>
      <w:r>
        <w:rPr>
          <w:rFonts w:ascii="Cambria" w:hAnsi="Cambria" w:cs="Cambria" w:eastAsia="Cambria"/>
          <w:sz w:val="22"/>
        </w:rPr>
        <w:t>: entidad mercantil, evaluación de la conformidad (certificación), formación y venta de publicaciones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UNE es miembro español en </w:t>
      </w:r>
      <w:r>
        <w:rPr>
          <w:rFonts w:ascii="Cambria" w:hAnsi="Cambria" w:cs="Cambria" w:eastAsia="Cambria"/>
          <w:b/>
          <w:sz w:val="22"/>
        </w:rPr>
        <w:t>ISO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IEC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CEN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CENELEC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ETSI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COPANT</w:t>
      </w:r>
      <w:r>
        <w:rPr>
          <w:rFonts w:ascii="Cambria" w:hAnsi="Cambria" w:cs="Cambria" w:eastAsia="Cambria"/>
          <w:sz w:val="22"/>
        </w:rPr>
        <w:t>. Coopera con AFNOR, BSI y DIN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Reconocida por la UE como organismo nacional de normalización (procedimiento de información de normas y reglamentaciones técnicas)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Puntos de información del TBT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Normas: el organismo nacional de normalización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Reglamentos técnicos: Subdirección General de Inspección, Certificación y Asistencia Técnica del Comercio Exterior, Secretaría de Estado de Comercio, </w:t>
      </w:r>
      <w:r>
        <w:rPr>
          <w:rFonts w:ascii="Cambria" w:hAnsi="Cambria" w:cs="Cambria" w:eastAsia="Cambria"/>
          <w:b/>
          <w:sz w:val="22"/>
        </w:rPr>
        <w:t>MECE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Actividad: materiales, productos, métodos de ensayo, temas generales. Por </w:t>
      </w:r>
      <w:r>
        <w:rPr>
          <w:rFonts w:ascii="Cambria" w:hAnsi="Cambria" w:cs="Cambria" w:eastAsia="Cambria"/>
          <w:b/>
          <w:sz w:val="22"/>
        </w:rPr>
        <w:t>Comités Técnicos de Normalización (CTN)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Proceso de elaboración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Trabajos preliminares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Proyecto de norma en el CTN, por consenso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Información pública en el </w:t>
      </w:r>
      <w:r>
        <w:rPr>
          <w:rFonts w:ascii="Cambria" w:hAnsi="Cambria" w:cs="Cambria" w:eastAsia="Cambria"/>
          <w:b/>
          <w:sz w:val="22"/>
        </w:rPr>
        <w:t>BOE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Aprobación por la Junta Directiva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Registro, edición y difusión, resolución de normas aprobadas en el BOE por el Ministerio de Industria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Norma UNE</w:t>
      </w:r>
      <w:r>
        <w:rPr>
          <w:rFonts w:ascii="Cambria" w:hAnsi="Cambria" w:cs="Cambria" w:eastAsia="Cambria"/>
          <w:sz w:val="22"/>
        </w:rPr>
        <w:t>: especificación técnica de aplicación repetitiva y continuada, no obligatoria, con participación de todas las partes interesadas, aprobada por UNE. Muchas son transposición de normas EN, ISO o IEC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Ecodiseño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UNE-EN ISO 14006</w:t>
      </w:r>
      <w:r>
        <w:rPr>
          <w:rFonts w:ascii="Cambria" w:hAnsi="Cambria" w:cs="Cambria" w:eastAsia="Cambria"/>
          <w:sz w:val="22"/>
        </w:rPr>
        <w:t xml:space="preserve">, basada en la norma española pionera </w:t>
      </w:r>
      <w:r>
        <w:rPr>
          <w:rFonts w:ascii="Cambria" w:hAnsi="Cambria" w:cs="Cambria" w:eastAsia="Cambria"/>
          <w:b/>
          <w:sz w:val="22"/>
        </w:rPr>
        <w:t>UNE 150301</w:t>
      </w:r>
      <w:r>
        <w:rPr>
          <w:rFonts w:ascii="Cambria" w:hAnsi="Cambria" w:cs="Cambria" w:eastAsia="Cambria"/>
          <w:sz w:val="22"/>
        </w:rPr>
        <w:t xml:space="preserve"> (2003). Certificable por AENOR u otras entidades acreditadas. Considera el impacto ambiental en todo el ciclo de vida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UNE-EN ISO/IEC 17020</w:t>
      </w:r>
      <w:r>
        <w:rPr>
          <w:rFonts w:ascii="Cambria" w:hAnsi="Cambria" w:cs="Cambria" w:eastAsia="Cambria"/>
          <w:sz w:val="22"/>
        </w:rPr>
        <w:t>: requisitos de organismos de inspección (transparencia, competencia técnica, buenas prácticas)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OTROS ORGANISMOS DE CARÁCTER PRIVADO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Proliferan esquemas voluntarios de normas y certificación, de buenas prácticas medioambientales, sociales o agrícolas, para atraer a consumidores de mercados exigentes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GLOBAL-GAP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Hasta 2007 </w:t>
      </w:r>
      <w:r>
        <w:rPr>
          <w:rFonts w:ascii="Cambria" w:hAnsi="Cambria" w:cs="Cambria" w:eastAsia="Cambria"/>
          <w:b/>
          <w:sz w:val="22"/>
        </w:rPr>
        <w:t>EUREP-GAP</w:t>
      </w:r>
      <w:r>
        <w:rPr>
          <w:rFonts w:ascii="Cambria" w:hAnsi="Cambria" w:cs="Cambria" w:eastAsia="Cambria"/>
          <w:sz w:val="22"/>
        </w:rPr>
        <w:t xml:space="preserve">, creado en </w:t>
      </w:r>
      <w:r>
        <w:rPr>
          <w:rFonts w:ascii="Cambria" w:hAnsi="Cambria" w:cs="Cambria" w:eastAsia="Cambria"/>
          <w:b/>
          <w:sz w:val="22"/>
        </w:rPr>
        <w:t>1997</w:t>
      </w:r>
      <w:r>
        <w:rPr>
          <w:rFonts w:ascii="Cambria" w:hAnsi="Cambria" w:cs="Cambria" w:eastAsia="Cambria"/>
          <w:sz w:val="22"/>
        </w:rPr>
        <w:t xml:space="preserve"> por distribuidores europeos. </w:t>
      </w:r>
      <w:r>
        <w:rPr>
          <w:rFonts w:ascii="Cambria" w:hAnsi="Cambria" w:cs="Cambria" w:eastAsia="Cambria"/>
          <w:b/>
          <w:sz w:val="22"/>
        </w:rPr>
        <w:t>GAP</w:t>
      </w:r>
      <w:r>
        <w:rPr>
          <w:rFonts w:ascii="Cambria" w:hAnsi="Cambria" w:cs="Cambria" w:eastAsia="Cambria"/>
          <w:sz w:val="22"/>
        </w:rPr>
        <w:t>: Good Agricultural Practices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Riesgos de inocuidad, trazabilidad, seguridad laboral, contaminación y conservación del medio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Solo producción y manejo poscosecha en finca. No procesamiento ni empacadoras externas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Normas: frutas y hortalizas, flores y ornamentales, producción vegetal y animal, salmón, café verde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Ámbito antes europeo, hoy con distribuidores no europeos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BRCGS</w:t>
      </w:r>
      <w:r>
        <w:rPr>
          <w:rFonts w:ascii="Cambria" w:hAnsi="Cambria" w:cs="Cambria" w:eastAsia="Cambria"/>
          <w:sz w:val="22"/>
        </w:rPr>
        <w:t xml:space="preserve"> (British Retail Consortium Global Standards)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Década de 1990, distribución británica. Seguridad alimentaria y buenas prácticas: envasado, almacenamiento, logística, distribución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Certificación exigida por grandes distribuidores a sus proveedores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AINIA</w:t>
      </w:r>
      <w:r>
        <w:rPr>
          <w:rFonts w:ascii="Cambria" w:hAnsi="Cambria" w:cs="Cambria" w:eastAsia="Cambria"/>
          <w:sz w:val="22"/>
        </w:rPr>
        <w:t xml:space="preserve"> (Instituto Tecnológico Agroalimentario de Valencia)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Asociación privada sin ánimo de lucro, creada en </w:t>
      </w:r>
      <w:r>
        <w:rPr>
          <w:rFonts w:ascii="Cambria" w:hAnsi="Cambria" w:cs="Cambria" w:eastAsia="Cambria"/>
          <w:b/>
          <w:sz w:val="22"/>
        </w:rPr>
        <w:t>1987</w:t>
      </w:r>
      <w:r>
        <w:rPr>
          <w:rFonts w:ascii="Cambria" w:hAnsi="Cambria" w:cs="Cambria" w:eastAsia="Cambria"/>
          <w:sz w:val="22"/>
        </w:rPr>
        <w:t xml:space="preserve"> con IMPIVA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I+D, calidad, competitividad y modernización del sector agroalimentario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Sistema </w:t>
      </w:r>
      <w:r>
        <w:rPr>
          <w:rFonts w:ascii="Cambria" w:hAnsi="Cambria" w:cs="Cambria" w:eastAsia="Cambria"/>
          <w:b/>
          <w:sz w:val="22"/>
        </w:rPr>
        <w:t>estratificado y complementario</w:t>
      </w:r>
      <w:r>
        <w:rPr>
          <w:rFonts w:ascii="Cambria" w:hAnsi="Cambria" w:cs="Cambria" w:eastAsia="Cambria"/>
          <w:sz w:val="22"/>
        </w:rPr>
        <w:t>: gubernamentales internacionales (OMSA, CIPF, OMI, UIT), no gubernamentales (ISO, IEC), regionales (CEPE/NU, CEN, CENELEC, ETSI) y nacional (UNE). Fin común: facilitar el comercio con un lenguaje técnico común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Esquemas privados (GLOBAL-GAP, BRCGS): exigencias de mercado por encima del mínimo legal, condición de facto de acceso a canales de distribución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Para 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>: conocer esta arquitectura permite interpretar origen, alcance y exigencia de normas y certificaciones en el control de calidad comercial y seguridad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44 – Otros organismos internacionales, regionales y nacionales de normalización. La normalización en el ámbito privado. Especial referencia a ISO, CEN, CENELEC y AENOR. Protocolos y buenas prácticas: GLOBAL/GAP y otros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44 – Otros organismos internacionales, regionales y nacionales de normalización. La normalización en el ámbito privado. Especial referencia a ISO, CEN, CENELEC y AENOR. Protocolos y buenas prácticas: GLOBAL/GAP y otros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