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Globalización</w:t>
      </w:r>
      <w:r>
        <w:rPr>
          <w:rFonts w:ascii="Cambria" w:hAnsi="Cambria" w:cs="Cambria" w:eastAsia="Cambria"/>
          <w:sz w:val="22"/>
        </w:rPr>
        <w:t>: internacionalización creciente de flujos comerciales y financieros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Interdependencia de economías y políticas económicas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Puntos: magnitudes, globalización y concentración, áreas de integración, política comercial de la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librecambio</w:t>
      </w:r>
      <w:r>
        <w:rPr>
          <w:rFonts w:ascii="Cambria" w:hAnsi="Cambria" w:cs="Cambria" w:eastAsia="Cambria"/>
          <w:sz w:val="22"/>
        </w:rPr>
        <w:t xml:space="preserve"> frente a </w:t>
      </w:r>
      <w:r>
        <w:rPr>
          <w:rFonts w:ascii="Cambria" w:hAnsi="Cambria" w:cs="Cambria" w:eastAsia="Cambria"/>
          <w:b/>
          <w:sz w:val="22"/>
        </w:rPr>
        <w:t>proteccionismo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COMERCIO INTERNACIONAL: MARCO GENERAL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Principales magnitudes: evolución de los flujos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Posguerra hasta la crisis del petróleo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Bretton Woods</w:t>
      </w:r>
      <w:r>
        <w:rPr>
          <w:rFonts w:ascii="Cambria" w:hAnsi="Cambria" w:cs="Cambria" w:eastAsia="Cambria"/>
          <w:sz w:val="22"/>
        </w:rPr>
        <w:t xml:space="preserve">: Banco Mundial, </w:t>
      </w:r>
      <w:r>
        <w:rPr>
          <w:rFonts w:ascii="Cambria" w:hAnsi="Cambria" w:cs="Cambria" w:eastAsia="Cambria"/>
          <w:b/>
          <w:sz w:val="22"/>
        </w:rPr>
        <w:t>FMI</w:t>
      </w:r>
      <w:r>
        <w:rPr>
          <w:rFonts w:ascii="Cambria" w:hAnsi="Cambria" w:cs="Cambria" w:eastAsia="Cambria"/>
          <w:sz w:val="22"/>
        </w:rPr>
        <w:t>, dólar como moneda de referencia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GATT 1947</w:t>
      </w:r>
      <w:r>
        <w:rPr>
          <w:rFonts w:ascii="Cambria" w:hAnsi="Cambria" w:cs="Cambria" w:eastAsia="Cambria"/>
          <w:sz w:val="22"/>
        </w:rPr>
        <w:t>, pero la Guerra Fría favoreció la integración regional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Tres bloques: occidental (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CEE</w:t>
      </w:r>
      <w:r>
        <w:rPr>
          <w:rFonts w:ascii="Cambria" w:hAnsi="Cambria" w:cs="Cambria" w:eastAsia="Cambria"/>
          <w:sz w:val="22"/>
        </w:rPr>
        <w:t xml:space="preserve"> 1957), soviético (</w:t>
      </w:r>
      <w:r>
        <w:rPr>
          <w:rFonts w:ascii="Cambria" w:hAnsi="Cambria" w:cs="Cambria" w:eastAsia="Cambria"/>
          <w:b/>
          <w:sz w:val="22"/>
        </w:rPr>
        <w:t>COMECON</w:t>
      </w:r>
      <w:r>
        <w:rPr>
          <w:rFonts w:ascii="Cambria" w:hAnsi="Cambria" w:cs="Cambria" w:eastAsia="Cambria"/>
          <w:sz w:val="22"/>
        </w:rPr>
        <w:t>) y resto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 agrícolas, la mitad del comercio. Ganan peso manufacturas y petróleo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Desde la crisis del petróleo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Crisis de </w:t>
      </w:r>
      <w:r>
        <w:rPr>
          <w:rFonts w:ascii="Cambria" w:hAnsi="Cambria" w:cs="Cambria" w:eastAsia="Cambria"/>
          <w:b/>
          <w:sz w:val="22"/>
        </w:rPr>
        <w:t>1973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1979</w:t>
      </w:r>
      <w:r>
        <w:rPr>
          <w:rFonts w:ascii="Cambria" w:hAnsi="Cambria" w:cs="Cambria" w:eastAsia="Cambria"/>
          <w:sz w:val="22"/>
        </w:rPr>
        <w:t>: trasvase financiero a exportadores de crudo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Liberalización por rondas del GATT: comercio de bienes y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Actualidad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Crecimiento casi continuo desde finales de los ochenta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Caídas: </w:t>
      </w:r>
      <w:r>
        <w:rPr>
          <w:rFonts w:ascii="Cambria" w:hAnsi="Cambria" w:cs="Cambria" w:eastAsia="Cambria"/>
          <w:b/>
          <w:sz w:val="22"/>
        </w:rPr>
        <w:t>2009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-22 %</w:t>
      </w:r>
      <w:r>
        <w:rPr>
          <w:rFonts w:ascii="Cambria" w:hAnsi="Cambria" w:cs="Cambria" w:eastAsia="Cambria"/>
          <w:sz w:val="22"/>
        </w:rPr>
        <w:t xml:space="preserve"> mercancías, </w:t>
      </w:r>
      <w:r>
        <w:rPr>
          <w:rFonts w:ascii="Cambria" w:hAnsi="Cambria" w:cs="Cambria" w:eastAsia="Cambria"/>
          <w:b/>
          <w:sz w:val="22"/>
        </w:rPr>
        <w:t>-9 %</w:t>
      </w:r>
      <w:r>
        <w:rPr>
          <w:rFonts w:ascii="Cambria" w:hAnsi="Cambria" w:cs="Cambria" w:eastAsia="Cambria"/>
          <w:sz w:val="22"/>
        </w:rPr>
        <w:t xml:space="preserve"> servicios), </w:t>
      </w:r>
      <w:r>
        <w:rPr>
          <w:rFonts w:ascii="Cambria" w:hAnsi="Cambria" w:cs="Cambria" w:eastAsia="Cambria"/>
          <w:b/>
          <w:sz w:val="22"/>
        </w:rPr>
        <w:t>2015-2016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-15 %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-4,5 %</w:t>
      </w:r>
      <w:r>
        <w:rPr>
          <w:rFonts w:ascii="Cambria" w:hAnsi="Cambria" w:cs="Cambria" w:eastAsia="Cambria"/>
          <w:sz w:val="22"/>
        </w:rPr>
        <w:t xml:space="preserve">), </w:t>
      </w:r>
      <w:r>
        <w:rPr>
          <w:rFonts w:ascii="Cambria" w:hAnsi="Cambria" w:cs="Cambria" w:eastAsia="Cambria"/>
          <w:b/>
          <w:sz w:val="22"/>
        </w:rPr>
        <w:t>2019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-3,0 %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+2,1 %</w:t>
      </w:r>
      <w:r>
        <w:rPr>
          <w:rFonts w:ascii="Cambria" w:hAnsi="Cambria" w:cs="Cambria" w:eastAsia="Cambria"/>
          <w:sz w:val="22"/>
        </w:rPr>
        <w:t xml:space="preserve">), covid-19 en </w:t>
      </w:r>
      <w:r>
        <w:rPr>
          <w:rFonts w:ascii="Cambria" w:hAnsi="Cambria" w:cs="Cambria" w:eastAsia="Cambria"/>
          <w:b/>
          <w:sz w:val="22"/>
        </w:rPr>
        <w:t>2020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Ralentización en </w:t>
      </w:r>
      <w:r>
        <w:rPr>
          <w:rFonts w:ascii="Cambria" w:hAnsi="Cambria" w:cs="Cambria" w:eastAsia="Cambria"/>
          <w:b/>
          <w:sz w:val="22"/>
        </w:rPr>
        <w:t>2023</w:t>
      </w:r>
      <w:r>
        <w:rPr>
          <w:rFonts w:ascii="Cambria" w:hAnsi="Cambria" w:cs="Cambria" w:eastAsia="Cambria"/>
          <w:sz w:val="22"/>
        </w:rPr>
        <w:t xml:space="preserve"> y repunte en </w:t>
      </w:r>
      <w:r>
        <w:rPr>
          <w:rFonts w:ascii="Cambria" w:hAnsi="Cambria" w:cs="Cambria" w:eastAsia="Cambria"/>
          <w:b/>
          <w:sz w:val="22"/>
        </w:rPr>
        <w:t>2024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>, este por pedidos anticipados ante aranceles de EEUU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Factores: crecimiento económico, relaciones comerciales, fin de la Guerra Fría, incorporación del bloque soviético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Nace el </w:t>
      </w:r>
      <w:r>
        <w:rPr>
          <w:rFonts w:ascii="Cambria" w:hAnsi="Cambria" w:cs="Cambria" w:eastAsia="Cambria"/>
          <w:b/>
          <w:sz w:val="22"/>
        </w:rPr>
        <w:t>1 de enero de 1995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166 miembros</w:t>
      </w:r>
      <w:r>
        <w:rPr>
          <w:rFonts w:ascii="Cambria" w:hAnsi="Cambria" w:cs="Cambria" w:eastAsia="Cambria"/>
          <w:sz w:val="22"/>
        </w:rPr>
        <w:t xml:space="preserve"> (Comoras y Timor Oriental en 2024, </w:t>
      </w:r>
      <w:r>
        <w:rPr>
          <w:rFonts w:ascii="Cambria" w:hAnsi="Cambria" w:cs="Cambria" w:eastAsia="Cambria"/>
          <w:b/>
          <w:sz w:val="22"/>
        </w:rPr>
        <w:t>XIII Conferencia Ministerial</w:t>
      </w:r>
      <w:r>
        <w:rPr>
          <w:rFonts w:ascii="Cambria" w:hAnsi="Cambria" w:cs="Cambria" w:eastAsia="Cambria"/>
          <w:sz w:val="22"/>
        </w:rPr>
        <w:t xml:space="preserve"> de Abu Dabi), </w:t>
      </w:r>
      <w:r>
        <w:rPr>
          <w:rFonts w:ascii="Cambria" w:hAnsi="Cambria" w:cs="Cambria" w:eastAsia="Cambria"/>
          <w:b/>
          <w:sz w:val="22"/>
        </w:rPr>
        <w:t>22</w:t>
      </w:r>
      <w:r>
        <w:rPr>
          <w:rFonts w:ascii="Cambria" w:hAnsi="Cambria" w:cs="Cambria" w:eastAsia="Cambria"/>
          <w:sz w:val="22"/>
        </w:rPr>
        <w:t xml:space="preserve"> en adhesión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Comercio crece más que la producción mundial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Rasgos del comercio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Internacionalización y tendencia al librecambio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Neoproteccionismo camuflado</w:t>
      </w:r>
      <w:r>
        <w:rPr>
          <w:rFonts w:ascii="Cambria" w:hAnsi="Cambria" w:cs="Cambria" w:eastAsia="Cambria"/>
          <w:sz w:val="22"/>
        </w:rPr>
        <w:t>: obstáculos técnicos, medidas sanitarias y fitosanitarias, medidas fiscales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>, repunte arancelario abierto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servicios (digitales y telecomunicaciones) y alta tecnología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Comercio </w:t>
      </w:r>
      <w:r>
        <w:rPr>
          <w:rFonts w:ascii="Cambria" w:hAnsi="Cambria" w:cs="Cambria" w:eastAsia="Cambria"/>
          <w:b/>
          <w:sz w:val="22"/>
        </w:rPr>
        <w:t>intraindustrial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intraempresa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Datos OMC (World Trade Statistics 2025)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Bienes y servicios: </w:t>
      </w:r>
      <w:r>
        <w:rPr>
          <w:rFonts w:ascii="Cambria" w:hAnsi="Cambria" w:cs="Cambria" w:eastAsia="Cambria"/>
          <w:b/>
          <w:sz w:val="22"/>
        </w:rPr>
        <w:t>34,9 billones de dólares</w:t>
      </w:r>
      <w:r>
        <w:rPr>
          <w:rFonts w:ascii="Cambria" w:hAnsi="Cambria" w:cs="Cambria" w:eastAsia="Cambria"/>
          <w:sz w:val="22"/>
        </w:rPr>
        <w:t xml:space="preserve"> en 2025, cerca de </w:t>
      </w:r>
      <w:r>
        <w:rPr>
          <w:rFonts w:ascii="Cambria" w:hAnsi="Cambria" w:cs="Cambria" w:eastAsia="Cambria"/>
          <w:b/>
          <w:sz w:val="22"/>
        </w:rPr>
        <w:t>+8 %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Mercancías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72,5 %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>, primer exportador e importador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Exportadores: China, EEUU, Japón, Corea del Sur. Importadores: EEUU, China, Japón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Manufacturas primero (la mitad, bienes de equipo), después combustibles y minería y agrícolas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Servicios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27,5 %</w:t>
      </w:r>
      <w:r>
        <w:rPr>
          <w:rFonts w:ascii="Cambria" w:hAnsi="Cambria" w:cs="Cambria" w:eastAsia="Cambria"/>
          <w:sz w:val="22"/>
        </w:rPr>
        <w:t>, máximo desde 2005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Impulso del </w:t>
      </w:r>
      <w:r>
        <w:rPr>
          <w:rFonts w:ascii="Cambria" w:hAnsi="Cambria" w:cs="Cambria" w:eastAsia="Cambria"/>
          <w:b/>
          <w:sz w:val="22"/>
        </w:rPr>
        <w:t>GATS</w:t>
      </w:r>
      <w:r>
        <w:rPr>
          <w:rFonts w:ascii="Cambria" w:hAnsi="Cambria" w:cs="Cambria" w:eastAsia="Cambria"/>
          <w:sz w:val="22"/>
        </w:rPr>
        <w:t xml:space="preserve">, concentrado en la </w:t>
      </w:r>
      <w:r>
        <w:rPr>
          <w:rFonts w:ascii="Cambria" w:hAnsi="Cambria" w:cs="Cambria" w:eastAsia="Cambria"/>
          <w:b/>
          <w:sz w:val="22"/>
        </w:rPr>
        <w:t>OCDE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 primero, seguido de UE y Reino Unido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Viajes, transporte, digitales y otros servicios comerciales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Tendencia evolutiva: globalización y concentración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Globalización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Ventajas: asignación de recursos, difusión tecnológica, disciplina sobre políticas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Fuerzas integradoras: comercio, integración regional, mercados financieros, tecnología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Fuerzas desintegradoras: desarrollo y demografía dispares, volatilidad cambiaria, problemas energéticos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impulsores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Impulso político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OMC</w:t>
      </w:r>
      <w:r>
        <w:rPr>
          <w:rFonts w:ascii="Cambria" w:hAnsi="Cambria" w:cs="Cambria" w:eastAsia="Cambria"/>
          <w:sz w:val="22"/>
        </w:rPr>
        <w:t xml:space="preserve"> con </w:t>
      </w:r>
      <w:r>
        <w:rPr>
          <w:rFonts w:ascii="Cambria" w:hAnsi="Cambria" w:cs="Cambria" w:eastAsia="Cambria"/>
          <w:b/>
          <w:sz w:val="22"/>
        </w:rPr>
        <w:t>GATT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GATS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ADPIC/TRIPS</w:t>
      </w:r>
      <w:r>
        <w:rPr>
          <w:rFonts w:ascii="Cambria" w:hAnsi="Cambria" w:cs="Cambria" w:eastAsia="Cambria"/>
          <w:sz w:val="22"/>
        </w:rPr>
        <w:t xml:space="preserve">, bloques regionales, caída del Muro de Berlín (UE de </w:t>
      </w:r>
      <w:r>
        <w:rPr>
          <w:rFonts w:ascii="Cambria" w:hAnsi="Cambria" w:cs="Cambria" w:eastAsia="Cambria"/>
          <w:b/>
          <w:sz w:val="22"/>
        </w:rPr>
        <w:t>2004</w:t>
      </w:r>
      <w:r>
        <w:rPr>
          <w:rFonts w:ascii="Cambria" w:hAnsi="Cambria" w:cs="Cambria" w:eastAsia="Cambria"/>
          <w:sz w:val="22"/>
        </w:rPr>
        <w:t xml:space="preserve"> a </w:t>
      </w:r>
      <w:r>
        <w:rPr>
          <w:rFonts w:ascii="Cambria" w:hAnsi="Cambria" w:cs="Cambria" w:eastAsia="Cambria"/>
          <w:b/>
          <w:sz w:val="22"/>
        </w:rPr>
        <w:t>Croacia 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Transporte y telecomunicaciones</w:t>
      </w:r>
      <w:r>
        <w:rPr>
          <w:rFonts w:ascii="Cambria" w:hAnsi="Cambria" w:cs="Cambria" w:eastAsia="Cambria"/>
          <w:sz w:val="22"/>
        </w:rPr>
        <w:t>: internet y plataformas digitales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Cambios tecnológicos y concentración empresarial</w:t>
      </w:r>
      <w:r>
        <w:rPr>
          <w:rFonts w:ascii="Cambria" w:hAnsi="Cambria" w:cs="Cambria" w:eastAsia="Cambria"/>
          <w:sz w:val="22"/>
        </w:rPr>
        <w:t>: fusiones transnacionales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Deslocalización</w:t>
      </w:r>
      <w:r>
        <w:rPr>
          <w:rFonts w:ascii="Cambria" w:hAnsi="Cambria" w:cs="Cambria" w:eastAsia="Cambria"/>
          <w:sz w:val="22"/>
        </w:rPr>
        <w:t>: textil y calzado a emergentes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Mercado financiero global</w:t>
      </w:r>
      <w:r>
        <w:rPr>
          <w:rFonts w:ascii="Cambria" w:hAnsi="Cambria" w:cs="Cambria" w:eastAsia="Cambria"/>
          <w:sz w:val="22"/>
        </w:rPr>
        <w:t>: Nueva York, Tokio, Londres, Fráncfort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Estrategia empresarial</w:t>
      </w:r>
      <w:r>
        <w:rPr>
          <w:rFonts w:ascii="Cambria" w:hAnsi="Cambria" w:cs="Cambria" w:eastAsia="Cambria"/>
          <w:sz w:val="22"/>
        </w:rPr>
        <w:t xml:space="preserve">: multinacionales y </w:t>
      </w:r>
      <w:r>
        <w:rPr>
          <w:rFonts w:ascii="Cambria" w:hAnsi="Cambria" w:cs="Cambria" w:eastAsia="Cambria"/>
          <w:b/>
          <w:sz w:val="22"/>
        </w:rPr>
        <w:t>PYME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Concentración (regionalismo)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Interés político, más competencia, beneficios al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Amenaza y oportunidad para las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del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del comercio mundial bajo estos acuerdos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Fases de integración</w:t>
      </w:r>
      <w:r>
        <w:rPr>
          <w:rFonts w:ascii="Cambria" w:hAnsi="Cambria" w:cs="Cambria" w:eastAsia="Cambria"/>
          <w:sz w:val="22"/>
        </w:rPr>
        <w:t>, de menor a mayor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 preferencial</w:t>
      </w:r>
      <w:r>
        <w:rPr>
          <w:rFonts w:ascii="Cambria" w:hAnsi="Cambria" w:cs="Cambria" w:eastAsia="Cambria"/>
          <w:sz w:val="22"/>
        </w:rPr>
        <w:t>: Commonwealth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Zona de libre comercio</w:t>
      </w:r>
      <w:r>
        <w:rPr>
          <w:rFonts w:ascii="Cambria" w:hAnsi="Cambria" w:cs="Cambria" w:eastAsia="Cambria"/>
          <w:sz w:val="22"/>
        </w:rPr>
        <w:t xml:space="preserve">: arancel propio frente a terceros. </w:t>
      </w:r>
      <w:r>
        <w:rPr>
          <w:rFonts w:ascii="Cambria" w:hAnsi="Cambria" w:cs="Cambria" w:eastAsia="Cambria"/>
          <w:b/>
          <w:sz w:val="22"/>
        </w:rPr>
        <w:t>EFTA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Unión aduanera</w:t>
      </w:r>
      <w:r>
        <w:rPr>
          <w:rFonts w:ascii="Cambria" w:hAnsi="Cambria" w:cs="Cambria" w:eastAsia="Cambria"/>
          <w:sz w:val="22"/>
        </w:rPr>
        <w:t>: arancel exterior común. BENELUX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Mercado común</w:t>
      </w:r>
      <w:r>
        <w:rPr>
          <w:rFonts w:ascii="Cambria" w:hAnsi="Cambria" w:cs="Cambria" w:eastAsia="Cambria"/>
          <w:sz w:val="22"/>
        </w:rPr>
        <w:t xml:space="preserve">: libre circulación de bienes, capitales y trabajadores. Mercado Único, </w:t>
      </w:r>
      <w:r>
        <w:rPr>
          <w:rFonts w:ascii="Cambria" w:hAnsi="Cambria" w:cs="Cambria" w:eastAsia="Cambria"/>
          <w:b/>
          <w:sz w:val="22"/>
        </w:rPr>
        <w:t>1 de enero de 1993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Unión económica</w:t>
      </w:r>
      <w:r>
        <w:rPr>
          <w:rFonts w:ascii="Cambria" w:hAnsi="Cambria" w:cs="Cambria" w:eastAsia="Cambria"/>
          <w:sz w:val="22"/>
        </w:rPr>
        <w:t>: objetivos macroeconómicos y políticas comunes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Unión monetaria</w:t>
      </w:r>
      <w:r>
        <w:rPr>
          <w:rFonts w:ascii="Cambria" w:hAnsi="Cambria" w:cs="Cambria" w:eastAsia="Cambria"/>
          <w:sz w:val="22"/>
        </w:rPr>
        <w:t xml:space="preserve">: moneda única y banco central. Euro, </w:t>
      </w:r>
      <w:r>
        <w:rPr>
          <w:rFonts w:ascii="Cambria" w:hAnsi="Cambria" w:cs="Cambria" w:eastAsia="Cambria"/>
          <w:b/>
          <w:sz w:val="22"/>
        </w:rPr>
        <w:t>2002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Unión política</w:t>
      </w:r>
      <w:r>
        <w:rPr>
          <w:rFonts w:ascii="Cambria" w:hAnsi="Cambria" w:cs="Cambria" w:eastAsia="Cambria"/>
          <w:sz w:val="22"/>
        </w:rPr>
        <w:t xml:space="preserve">: un único país. La UE no llega (rechazo de la Constitución Europea en </w:t>
      </w:r>
      <w:r>
        <w:rPr>
          <w:rFonts w:ascii="Cambria" w:hAnsi="Cambria" w:cs="Cambria" w:eastAsia="Cambria"/>
          <w:b/>
          <w:sz w:val="22"/>
        </w:rPr>
        <w:t>2005</w:t>
      </w:r>
      <w:r>
        <w:rPr>
          <w:rFonts w:ascii="Cambria" w:hAnsi="Cambria" w:cs="Cambria" w:eastAsia="Cambria"/>
          <w:sz w:val="22"/>
        </w:rPr>
        <w:t xml:space="preserve"> en Francia y Países Bajos)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Principales áreas de integración económica y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Europa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COMECON</w:t>
      </w:r>
      <w:r>
        <w:rPr>
          <w:rFonts w:ascii="Cambria" w:hAnsi="Cambria" w:cs="Cambria" w:eastAsia="Cambria"/>
          <w:sz w:val="22"/>
        </w:rPr>
        <w:t xml:space="preserve">: 1949, URSS, disuelto en </w:t>
      </w:r>
      <w:r>
        <w:rPr>
          <w:rFonts w:ascii="Cambria" w:hAnsi="Cambria" w:cs="Cambria" w:eastAsia="Cambria"/>
          <w:b/>
          <w:sz w:val="22"/>
        </w:rPr>
        <w:t>1991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Polonia, Chequia, Eslovaquia, Hungría, Eslovenia, Croacia: UE en </w:t>
      </w:r>
      <w:r>
        <w:rPr>
          <w:rFonts w:ascii="Cambria" w:hAnsi="Cambria" w:cs="Cambria" w:eastAsia="Cambria"/>
          <w:b/>
          <w:sz w:val="22"/>
        </w:rPr>
        <w:t>2004</w:t>
      </w:r>
      <w:r>
        <w:rPr>
          <w:rFonts w:ascii="Cambria" w:hAnsi="Cambria" w:cs="Cambria" w:eastAsia="Cambria"/>
          <w:sz w:val="22"/>
        </w:rPr>
        <w:t xml:space="preserve"> (Croacia </w:t>
      </w:r>
      <w:r>
        <w:rPr>
          <w:rFonts w:ascii="Cambria" w:hAnsi="Cambria" w:cs="Cambria" w:eastAsia="Cambria"/>
          <w:b/>
          <w:sz w:val="22"/>
        </w:rPr>
        <w:t>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Rumanía y Bulgaria: UE en </w:t>
      </w:r>
      <w:r>
        <w:rPr>
          <w:rFonts w:ascii="Cambria" w:hAnsi="Cambria" w:cs="Cambria" w:eastAsia="Cambria"/>
          <w:b/>
          <w:sz w:val="22"/>
        </w:rPr>
        <w:t>2007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Rusia y exrepúblicas soviéticas, frenadas por incertidumbres políticas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EFTA</w:t>
      </w:r>
      <w:r>
        <w:rPr>
          <w:rFonts w:ascii="Cambria" w:hAnsi="Cambria" w:cs="Cambria" w:eastAsia="Cambria"/>
          <w:sz w:val="22"/>
        </w:rPr>
        <w:t>: 1960, Noruega, Suiza, Liechtenstein, Islandia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EEE</w:t>
      </w:r>
      <w:r>
        <w:rPr>
          <w:rFonts w:ascii="Cambria" w:hAnsi="Cambria" w:cs="Cambria" w:eastAsia="Cambria"/>
          <w:sz w:val="22"/>
        </w:rPr>
        <w:t xml:space="preserve"> (1994): UE-27 y tres países de la EFTA, salvo Suiza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: Mercado Único </w:t>
      </w:r>
      <w:r>
        <w:rPr>
          <w:rFonts w:ascii="Cambria" w:hAnsi="Cambria" w:cs="Cambria" w:eastAsia="Cambria"/>
          <w:b/>
          <w:sz w:val="22"/>
        </w:rPr>
        <w:t>1993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UEM</w:t>
      </w:r>
      <w:r>
        <w:rPr>
          <w:rFonts w:ascii="Cambria" w:hAnsi="Cambria" w:cs="Cambria" w:eastAsia="Cambria"/>
          <w:sz w:val="22"/>
        </w:rPr>
        <w:t xml:space="preserve"> </w:t>
      </w:r>
      <w:r>
        <w:rPr>
          <w:rFonts w:ascii="Cambria" w:hAnsi="Cambria" w:cs="Cambria" w:eastAsia="Cambria"/>
          <w:b/>
          <w:sz w:val="22"/>
        </w:rPr>
        <w:t>2002</w:t>
      </w:r>
      <w:r>
        <w:rPr>
          <w:rFonts w:ascii="Cambria" w:hAnsi="Cambria" w:cs="Cambria" w:eastAsia="Cambria"/>
          <w:sz w:val="22"/>
        </w:rPr>
        <w:t>, principal zona comercial y de mayor integración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América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ALADI</w:t>
      </w:r>
      <w:r>
        <w:rPr>
          <w:rFonts w:ascii="Cambria" w:hAnsi="Cambria" w:cs="Cambria" w:eastAsia="Cambria"/>
          <w:sz w:val="22"/>
        </w:rPr>
        <w:t>: América Latina salvo Centroamérica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CAN</w:t>
      </w:r>
      <w:r>
        <w:rPr>
          <w:rFonts w:ascii="Cambria" w:hAnsi="Cambria" w:cs="Cambria" w:eastAsia="Cambria"/>
          <w:sz w:val="22"/>
        </w:rPr>
        <w:t xml:space="preserve">: 1969, unión aduanera. Venezuela salió en </w:t>
      </w:r>
      <w:r>
        <w:rPr>
          <w:rFonts w:ascii="Cambria" w:hAnsi="Cambria" w:cs="Cambria" w:eastAsia="Cambria"/>
          <w:b/>
          <w:sz w:val="22"/>
        </w:rPr>
        <w:t>2006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>: 1991, unión aduanera, el de mayor éxito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Venezuela suspendida desde 2016. </w:t>
      </w:r>
      <w:r>
        <w:rPr>
          <w:rFonts w:ascii="Cambria" w:hAnsi="Cambria" w:cs="Cambria" w:eastAsia="Cambria"/>
          <w:b/>
          <w:sz w:val="22"/>
        </w:rPr>
        <w:t>Bolivia</w:t>
      </w:r>
      <w:r>
        <w:rPr>
          <w:rFonts w:ascii="Cambria" w:hAnsi="Cambria" w:cs="Cambria" w:eastAsia="Cambria"/>
          <w:sz w:val="22"/>
        </w:rPr>
        <w:t xml:space="preserve">, miembro de pleno derecho el </w:t>
      </w:r>
      <w:r>
        <w:rPr>
          <w:rFonts w:ascii="Cambria" w:hAnsi="Cambria" w:cs="Cambria" w:eastAsia="Cambria"/>
          <w:b/>
          <w:sz w:val="22"/>
        </w:rPr>
        <w:t>8 de julio de 2024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UE-MERCOSUR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EMPA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iTA</w:t>
      </w:r>
      <w:r>
        <w:rPr>
          <w:rFonts w:ascii="Cambria" w:hAnsi="Cambria" w:cs="Cambria" w:eastAsia="Cambria"/>
          <w:sz w:val="22"/>
        </w:rPr>
        <w:t xml:space="preserve"> firmados el </w:t>
      </w:r>
      <w:r>
        <w:rPr>
          <w:rFonts w:ascii="Cambria" w:hAnsi="Cambria" w:cs="Cambria" w:eastAsia="Cambria"/>
          <w:b/>
          <w:sz w:val="22"/>
        </w:rPr>
        <w:t>17 de enero de 2026</w:t>
      </w:r>
      <w:r>
        <w:rPr>
          <w:rFonts w:ascii="Cambria" w:hAnsi="Cambria" w:cs="Cambria" w:eastAsia="Cambria"/>
          <w:sz w:val="22"/>
        </w:rPr>
        <w:t xml:space="preserve">, iTA aplicado provisionalmente desde el </w:t>
      </w:r>
      <w:r>
        <w:rPr>
          <w:rFonts w:ascii="Cambria" w:hAnsi="Cambria" w:cs="Cambria" w:eastAsia="Cambria"/>
          <w:b/>
          <w:sz w:val="22"/>
        </w:rPr>
        <w:t>1 de mayo de 2026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Parlamento Europeo pide dictamen al </w:t>
      </w:r>
      <w:r>
        <w:rPr>
          <w:rFonts w:ascii="Cambria" w:hAnsi="Cambria" w:cs="Cambria" w:eastAsia="Cambria"/>
          <w:b/>
          <w:sz w:val="22"/>
        </w:rPr>
        <w:t>TJUE</w:t>
      </w:r>
      <w:r>
        <w:rPr>
          <w:rFonts w:ascii="Cambria" w:hAnsi="Cambria" w:cs="Cambria" w:eastAsia="Cambria"/>
          <w:sz w:val="22"/>
        </w:rPr>
        <w:t>, que suspende su aprobación unos 16 a 18 meses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EMPA exige ratificar todos los Estados miembros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UNASUR</w:t>
      </w:r>
      <w:r>
        <w:rPr>
          <w:rFonts w:ascii="Cambria" w:hAnsi="Cambria" w:cs="Cambria" w:eastAsia="Cambria"/>
          <w:sz w:val="22"/>
        </w:rPr>
        <w:t xml:space="preserve">, sustituida por </w:t>
      </w:r>
      <w:r>
        <w:rPr>
          <w:rFonts w:ascii="Cambria" w:hAnsi="Cambria" w:cs="Cambria" w:eastAsia="Cambria"/>
          <w:b/>
          <w:sz w:val="22"/>
        </w:rPr>
        <w:t>PROSUR</w:t>
      </w:r>
      <w:r>
        <w:rPr>
          <w:rFonts w:ascii="Cambria" w:hAnsi="Cambria" w:cs="Cambria" w:eastAsia="Cambria"/>
          <w:sz w:val="22"/>
        </w:rPr>
        <w:t xml:space="preserve"> (2019)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Mercado Común Centroamericano</w:t>
      </w:r>
      <w:r>
        <w:rPr>
          <w:rFonts w:ascii="Cambria" w:hAnsi="Cambria" w:cs="Cambria" w:eastAsia="Cambria"/>
          <w:sz w:val="22"/>
        </w:rPr>
        <w:t>: seis países, libre comercio con EEUU en 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T-MEC/USMCA</w:t>
      </w:r>
      <w:r>
        <w:rPr>
          <w:rFonts w:ascii="Cambria" w:hAnsi="Cambria" w:cs="Cambria" w:eastAsia="Cambria"/>
          <w:sz w:val="22"/>
        </w:rPr>
        <w:t xml:space="preserve">: sustituye al </w:t>
      </w:r>
      <w:r>
        <w:rPr>
          <w:rFonts w:ascii="Cambria" w:hAnsi="Cambria" w:cs="Cambria" w:eastAsia="Cambria"/>
          <w:b/>
          <w:sz w:val="22"/>
        </w:rPr>
        <w:t>NAFTA</w:t>
      </w:r>
      <w:r>
        <w:rPr>
          <w:rFonts w:ascii="Cambria" w:hAnsi="Cambria" w:cs="Cambria" w:eastAsia="Cambria"/>
          <w:sz w:val="22"/>
        </w:rPr>
        <w:t xml:space="preserve"> desde el </w:t>
      </w:r>
      <w:r>
        <w:rPr>
          <w:rFonts w:ascii="Cambria" w:hAnsi="Cambria" w:cs="Cambria" w:eastAsia="Cambria"/>
          <w:b/>
          <w:sz w:val="22"/>
        </w:rPr>
        <w:t>1 de julio de 2020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Revisión del </w:t>
      </w:r>
      <w:r>
        <w:rPr>
          <w:rFonts w:ascii="Cambria" w:hAnsi="Cambria" w:cs="Cambria" w:eastAsia="Cambria"/>
          <w:b/>
          <w:sz w:val="22"/>
        </w:rPr>
        <w:t>1 de julio de 2026</w:t>
      </w:r>
      <w:r>
        <w:rPr>
          <w:rFonts w:ascii="Cambria" w:hAnsi="Cambria" w:cs="Cambria" w:eastAsia="Cambria"/>
          <w:sz w:val="22"/>
        </w:rPr>
        <w:t xml:space="preserve"> sin confirmar EEUU la prórroga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Sigue en vigor, revisión anual y expira en </w:t>
      </w:r>
      <w:r>
        <w:rPr>
          <w:rFonts w:ascii="Cambria" w:hAnsi="Cambria" w:cs="Cambria" w:eastAsia="Cambria"/>
          <w:b/>
          <w:sz w:val="22"/>
        </w:rPr>
        <w:t>julio de 2036</w:t>
      </w:r>
      <w:r>
        <w:rPr>
          <w:rFonts w:ascii="Cambria" w:hAnsi="Cambria" w:cs="Cambria" w:eastAsia="Cambria"/>
          <w:sz w:val="22"/>
        </w:rPr>
        <w:t xml:space="preserve"> sin prórroga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ALCA</w:t>
      </w:r>
      <w:r>
        <w:rPr>
          <w:rFonts w:ascii="Cambria" w:hAnsi="Cambria" w:cs="Cambria" w:eastAsia="Cambria"/>
          <w:sz w:val="22"/>
        </w:rPr>
        <w:t>: abandonado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Asia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ASEAN</w:t>
      </w:r>
      <w:r>
        <w:rPr>
          <w:rFonts w:ascii="Cambria" w:hAnsi="Cambria" w:cs="Cambria" w:eastAsia="Cambria"/>
          <w:sz w:val="22"/>
        </w:rPr>
        <w:t>: 1967, libre comercio desde 1992, once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APEC</w:t>
      </w:r>
      <w:r>
        <w:rPr>
          <w:rFonts w:ascii="Cambria" w:hAnsi="Cambria" w:cs="Cambria" w:eastAsia="Cambria"/>
          <w:sz w:val="22"/>
        </w:rPr>
        <w:t>: 1989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ASEM</w:t>
      </w:r>
      <w:r>
        <w:rPr>
          <w:rFonts w:ascii="Cambria" w:hAnsi="Cambria" w:cs="Cambria" w:eastAsia="Cambria"/>
          <w:sz w:val="22"/>
        </w:rPr>
        <w:t>: diálogo Asia-Europa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RCEP</w:t>
      </w:r>
      <w:r>
        <w:rPr>
          <w:rFonts w:ascii="Cambria" w:hAnsi="Cambria" w:cs="Cambria" w:eastAsia="Cambria"/>
          <w:sz w:val="22"/>
        </w:rPr>
        <w:t>: ASEAN más Australia, China, Japón, Corea del Sur, Nueva Zelanda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En vigor desde el </w:t>
      </w:r>
      <w:r>
        <w:rPr>
          <w:rFonts w:ascii="Cambria" w:hAnsi="Cambria" w:cs="Cambria" w:eastAsia="Cambria"/>
          <w:b/>
          <w:sz w:val="22"/>
        </w:rPr>
        <w:t>1 de enero de 2022</w:t>
      </w:r>
      <w:r>
        <w:rPr>
          <w:rFonts w:ascii="Cambria" w:hAnsi="Cambria" w:cs="Cambria" w:eastAsia="Cambria"/>
          <w:sz w:val="22"/>
        </w:rPr>
        <w:t>, quince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Oceanía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ANZCERTA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Oriente Medio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Consejo de Cooperación del Golfo</w:t>
      </w:r>
      <w:r>
        <w:rPr>
          <w:rFonts w:ascii="Cambria" w:hAnsi="Cambria" w:cs="Cambria" w:eastAsia="Cambria"/>
          <w:sz w:val="22"/>
        </w:rPr>
        <w:t>: mercado común 2008, negociación con la UE suspendida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OPEP</w:t>
      </w:r>
      <w:r>
        <w:rPr>
          <w:rFonts w:ascii="Cambria" w:hAnsi="Cambria" w:cs="Cambria" w:eastAsia="Cambria"/>
          <w:sz w:val="22"/>
        </w:rPr>
        <w:t xml:space="preserve">: 1960, </w:t>
      </w:r>
      <w:r>
        <w:rPr>
          <w:rFonts w:ascii="Cambria" w:hAnsi="Cambria" w:cs="Cambria" w:eastAsia="Cambria"/>
          <w:b/>
          <w:sz w:val="22"/>
        </w:rPr>
        <w:t>12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África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AfCFTA</w:t>
      </w:r>
      <w:r>
        <w:rPr>
          <w:rFonts w:ascii="Cambria" w:hAnsi="Cambria" w:cs="Cambria" w:eastAsia="Cambria"/>
          <w:sz w:val="22"/>
        </w:rPr>
        <w:t xml:space="preserve"> (2018), mercado único continental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Política comercial de la Unión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Prioridad: abrir mercados exteriores y abaratar bienes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Conferencias Ministeriales de la 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Bali</w:t>
      </w:r>
      <w:r>
        <w:rPr>
          <w:rFonts w:ascii="Cambria" w:hAnsi="Cambria" w:cs="Cambria" w:eastAsia="Cambria"/>
          <w:sz w:val="22"/>
        </w:rPr>
        <w:t xml:space="preserve"> (2013): </w:t>
      </w:r>
      <w:r>
        <w:rPr>
          <w:rFonts w:ascii="Cambria" w:hAnsi="Cambria" w:cs="Cambria" w:eastAsia="Cambria"/>
          <w:b/>
          <w:sz w:val="22"/>
        </w:rPr>
        <w:t>Acuerdo de Facilitación de Comercio</w:t>
      </w:r>
      <w:r>
        <w:rPr>
          <w:rFonts w:ascii="Cambria" w:hAnsi="Cambria" w:cs="Cambria" w:eastAsia="Cambria"/>
          <w:sz w:val="22"/>
        </w:rPr>
        <w:t xml:space="preserve">, en vigor el </w:t>
      </w:r>
      <w:r>
        <w:rPr>
          <w:rFonts w:ascii="Cambria" w:hAnsi="Cambria" w:cs="Cambria" w:eastAsia="Cambria"/>
          <w:b/>
          <w:sz w:val="22"/>
        </w:rPr>
        <w:t>22 de febrero de 2017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Nairobi</w:t>
      </w:r>
      <w:r>
        <w:rPr>
          <w:rFonts w:ascii="Cambria" w:hAnsi="Cambria" w:cs="Cambria" w:eastAsia="Cambria"/>
          <w:sz w:val="22"/>
        </w:rPr>
        <w:t xml:space="preserve"> (2015): agricultura y países menos adelantados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Buenos Aires</w:t>
      </w:r>
      <w:r>
        <w:rPr>
          <w:rFonts w:ascii="Cambria" w:hAnsi="Cambria" w:cs="Cambria" w:eastAsia="Cambria"/>
          <w:sz w:val="22"/>
        </w:rPr>
        <w:t xml:space="preserve"> (2017): subsidios a la pesca y comercio electrónico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Ginebra</w:t>
      </w:r>
      <w:r>
        <w:rPr>
          <w:rFonts w:ascii="Cambria" w:hAnsi="Cambria" w:cs="Cambria" w:eastAsia="Cambria"/>
          <w:sz w:val="22"/>
        </w:rPr>
        <w:t xml:space="preserve"> (2022) y </w:t>
      </w:r>
      <w:r>
        <w:rPr>
          <w:rFonts w:ascii="Cambria" w:hAnsi="Cambria" w:cs="Cambria" w:eastAsia="Cambria"/>
          <w:b/>
          <w:sz w:val="22"/>
        </w:rPr>
        <w:t>Abu Dabi</w:t>
      </w:r>
      <w:r>
        <w:rPr>
          <w:rFonts w:ascii="Cambria" w:hAnsi="Cambria" w:cs="Cambria" w:eastAsia="Cambria"/>
          <w:sz w:val="22"/>
        </w:rPr>
        <w:t xml:space="preserve"> (2024): moratoria al comercio electrónico prorrogada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Yaundé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26-29 de marzo de 2026</w:t>
      </w:r>
      <w:r>
        <w:rPr>
          <w:rFonts w:ascii="Cambria" w:hAnsi="Cambria" w:cs="Cambria" w:eastAsia="Cambria"/>
          <w:sz w:val="22"/>
        </w:rPr>
        <w:t xml:space="preserve">): dos decisiones, </w:t>
      </w:r>
      <w:r>
        <w:rPr>
          <w:rFonts w:ascii="Cambria" w:hAnsi="Cambria" w:cs="Cambria" w:eastAsia="Cambria"/>
          <w:b/>
          <w:sz w:val="22"/>
        </w:rPr>
        <w:t>Paquete de Yaundé</w:t>
      </w:r>
      <w:r>
        <w:rPr>
          <w:rFonts w:ascii="Cambria" w:hAnsi="Cambria" w:cs="Cambria" w:eastAsia="Cambria"/>
          <w:sz w:val="22"/>
        </w:rPr>
        <w:t xml:space="preserve"> sobre pesca, moratoria sin prorrogar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Acuerdos plurilaterales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EGA</w:t>
      </w:r>
      <w:r>
        <w:rPr>
          <w:rFonts w:ascii="Cambria" w:hAnsi="Cambria" w:cs="Cambria" w:eastAsia="Cambria"/>
          <w:sz w:val="22"/>
        </w:rPr>
        <w:t>: bienes medioambientales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ITA</w:t>
      </w:r>
      <w:r>
        <w:rPr>
          <w:rFonts w:ascii="Cambria" w:hAnsi="Cambria" w:cs="Cambria" w:eastAsia="Cambria"/>
          <w:sz w:val="22"/>
        </w:rPr>
        <w:t>: tecnología de la información, Singapur 1996, ampliado en 2015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TiSA</w:t>
      </w:r>
      <w:r>
        <w:rPr>
          <w:rFonts w:ascii="Cambria" w:hAnsi="Cambria" w:cs="Cambria" w:eastAsia="Cambria"/>
          <w:sz w:val="22"/>
        </w:rPr>
        <w:t>: servicios, en suspenso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Contratación Pública</w:t>
      </w:r>
      <w:r>
        <w:rPr>
          <w:rFonts w:ascii="Cambria" w:hAnsi="Cambria" w:cs="Cambria" w:eastAsia="Cambria"/>
          <w:sz w:val="22"/>
        </w:rPr>
        <w:t>: 1979, revisado en 2014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Propiedad intelectual</w:t>
      </w:r>
      <w:r>
        <w:rPr>
          <w:rFonts w:ascii="Cambria" w:hAnsi="Cambria" w:cs="Cambria" w:eastAsia="Cambria"/>
          <w:sz w:val="22"/>
        </w:rPr>
        <w:t xml:space="preserve">: sistema multilateral de indicaciones geográficas sin completar. UE promueve el </w:t>
      </w:r>
      <w:r>
        <w:rPr>
          <w:rFonts w:ascii="Cambria" w:hAnsi="Cambria" w:cs="Cambria" w:eastAsia="Cambria"/>
          <w:b/>
          <w:sz w:val="22"/>
        </w:rPr>
        <w:t>Arreglo de Lisboa</w:t>
      </w:r>
      <w:r>
        <w:rPr>
          <w:rFonts w:ascii="Cambria" w:hAnsi="Cambria" w:cs="Cambria" w:eastAsia="Cambria"/>
          <w:sz w:val="22"/>
        </w:rPr>
        <w:t xml:space="preserve"> en la </w:t>
      </w:r>
      <w:r>
        <w:rPr>
          <w:rFonts w:ascii="Cambria" w:hAnsi="Cambria" w:cs="Cambria" w:eastAsia="Cambria"/>
          <w:b/>
          <w:sz w:val="22"/>
        </w:rPr>
        <w:t>OMPI</w:t>
      </w:r>
      <w:r>
        <w:rPr>
          <w:rFonts w:ascii="Cambria" w:hAnsi="Cambria" w:cs="Cambria" w:eastAsia="Cambria"/>
          <w:sz w:val="22"/>
        </w:rPr>
        <w:t xml:space="preserve"> y acuerdos sobre vinos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Acuerdos bilaterales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TTIP</w:t>
      </w:r>
      <w:r>
        <w:rPr>
          <w:rFonts w:ascii="Cambria" w:hAnsi="Cambria" w:cs="Cambria" w:eastAsia="Cambria"/>
          <w:sz w:val="22"/>
        </w:rPr>
        <w:t xml:space="preserve"> abandonado. Acuerdo marco de julio de </w:t>
      </w: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 xml:space="preserve">, arancel general del </w:t>
      </w:r>
      <w:r>
        <w:rPr>
          <w:rFonts w:ascii="Cambria" w:hAnsi="Cambria" w:cs="Cambria" w:eastAsia="Cambria"/>
          <w:b/>
          <w:sz w:val="22"/>
        </w:rPr>
        <w:t>15 %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Canadá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CETA</w:t>
      </w:r>
      <w:r>
        <w:rPr>
          <w:rFonts w:ascii="Cambria" w:hAnsi="Cambria" w:cs="Cambria" w:eastAsia="Cambria"/>
          <w:sz w:val="22"/>
        </w:rPr>
        <w:t xml:space="preserve">, aplicación provisional desde el </w:t>
      </w:r>
      <w:r>
        <w:rPr>
          <w:rFonts w:ascii="Cambria" w:hAnsi="Cambria" w:cs="Cambria" w:eastAsia="Cambria"/>
          <w:b/>
          <w:sz w:val="22"/>
        </w:rPr>
        <w:t>21 de septiembre de 2017</w:t>
      </w:r>
      <w:r>
        <w:rPr>
          <w:rFonts w:ascii="Cambria" w:hAnsi="Cambria" w:cs="Cambria" w:eastAsia="Cambria"/>
          <w:sz w:val="22"/>
        </w:rPr>
        <w:t>, ratificado por 17 de 27 Estados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Ecuador, Colombia y Perú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ACM</w:t>
      </w:r>
      <w:r>
        <w:rPr>
          <w:rFonts w:ascii="Cambria" w:hAnsi="Cambria" w:cs="Cambria" w:eastAsia="Cambria"/>
          <w:sz w:val="22"/>
        </w:rPr>
        <w:t>, aplicado desde 2013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Centroamérica</w:t>
      </w:r>
      <w:r>
        <w:rPr>
          <w:rFonts w:ascii="Cambria" w:hAnsi="Cambria" w:cs="Cambria" w:eastAsia="Cambria"/>
          <w:sz w:val="22"/>
        </w:rPr>
        <w:t>: Acuerdo de Asociación, 2012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EMPA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iTA</w:t>
      </w:r>
      <w:r>
        <w:rPr>
          <w:rFonts w:ascii="Cambria" w:hAnsi="Cambria" w:cs="Cambria" w:eastAsia="Cambria"/>
          <w:sz w:val="22"/>
        </w:rPr>
        <w:t>, iTA desde el 1 de mayo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México</w:t>
      </w:r>
      <w:r>
        <w:rPr>
          <w:rFonts w:ascii="Cambria" w:hAnsi="Cambria" w:cs="Cambria" w:eastAsia="Cambria"/>
          <w:sz w:val="22"/>
        </w:rPr>
        <w:t xml:space="preserve">: Acuerdo Global del año 2000, modernizado y firmado el </w:t>
      </w:r>
      <w:r>
        <w:rPr>
          <w:rFonts w:ascii="Cambria" w:hAnsi="Cambria" w:cs="Cambria" w:eastAsia="Cambria"/>
          <w:b/>
          <w:sz w:val="22"/>
        </w:rPr>
        <w:t>22 de mayo de 2026</w:t>
      </w:r>
      <w:r>
        <w:rPr>
          <w:rFonts w:ascii="Cambria" w:hAnsi="Cambria" w:cs="Cambria" w:eastAsia="Cambria"/>
          <w:sz w:val="22"/>
        </w:rPr>
        <w:t xml:space="preserve"> con Acuerdo Interino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Chile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ITA</w:t>
      </w:r>
      <w:r>
        <w:rPr>
          <w:rFonts w:ascii="Cambria" w:hAnsi="Cambria" w:cs="Cambria" w:eastAsia="Cambria"/>
          <w:sz w:val="22"/>
        </w:rPr>
        <w:t xml:space="preserve"> desde el </w:t>
      </w:r>
      <w:r>
        <w:rPr>
          <w:rFonts w:ascii="Cambria" w:hAnsi="Cambria" w:cs="Cambria" w:eastAsia="Cambria"/>
          <w:b/>
          <w:sz w:val="22"/>
        </w:rPr>
        <w:t>1 de febrero de 2025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AFA</w:t>
      </w:r>
      <w:r>
        <w:rPr>
          <w:rFonts w:ascii="Cambria" w:hAnsi="Cambria" w:cs="Cambria" w:eastAsia="Cambria"/>
          <w:sz w:val="22"/>
        </w:rPr>
        <w:t xml:space="preserve"> en aplicación provisional parcial desde el </w:t>
      </w:r>
      <w:r>
        <w:rPr>
          <w:rFonts w:ascii="Cambria" w:hAnsi="Cambria" w:cs="Cambria" w:eastAsia="Cambria"/>
          <w:b/>
          <w:sz w:val="22"/>
        </w:rPr>
        <w:t>1 de junio 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Cuba</w:t>
      </w:r>
      <w:r>
        <w:rPr>
          <w:rFonts w:ascii="Cambria" w:hAnsi="Cambria" w:cs="Cambria" w:eastAsia="Cambria"/>
          <w:sz w:val="22"/>
        </w:rPr>
        <w:t>: Diálogo Político y de Cooperación, aplicación provisional desde 2017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Bolivia</w:t>
      </w:r>
      <w:r>
        <w:rPr>
          <w:rFonts w:ascii="Cambria" w:hAnsi="Cambria" w:cs="Cambria" w:eastAsia="Cambria"/>
          <w:sz w:val="22"/>
        </w:rPr>
        <w:t>: sin prioridad, SPG+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Vecindad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PEV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Golfo</w:t>
      </w:r>
      <w:r>
        <w:rPr>
          <w:rFonts w:ascii="Cambria" w:hAnsi="Cambria" w:cs="Cambria" w:eastAsia="Cambria"/>
          <w:sz w:val="22"/>
        </w:rPr>
        <w:t>: Acuerdo de 1988 vigente, libre comercio suspendido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ACP</w:t>
      </w:r>
      <w:r>
        <w:rPr>
          <w:rFonts w:ascii="Cambria" w:hAnsi="Cambria" w:cs="Cambria" w:eastAsia="Cambria"/>
          <w:sz w:val="22"/>
        </w:rPr>
        <w:t xml:space="preserve">: Cotonú y </w:t>
      </w:r>
      <w:r>
        <w:rPr>
          <w:rFonts w:ascii="Cambria" w:hAnsi="Cambria" w:cs="Cambria" w:eastAsia="Cambria"/>
          <w:b/>
          <w:sz w:val="22"/>
        </w:rPr>
        <w:t>Acuerdos de Asociación Económica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Singapur y Vietnam firmados. Negociación con Malasia, Tailandia, Filipinas, Brunéi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Indonesia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CEPA</w:t>
      </w:r>
      <w:r>
        <w:rPr>
          <w:rFonts w:ascii="Cambria" w:hAnsi="Cambria" w:cs="Cambria" w:eastAsia="Cambria"/>
          <w:sz w:val="22"/>
        </w:rPr>
        <w:t xml:space="preserve"> concluido el 23 de septiembre de 2025. </w:t>
      </w:r>
      <w:r>
        <w:rPr>
          <w:rFonts w:ascii="Cambria" w:hAnsi="Cambria" w:cs="Cambria" w:eastAsia="Cambria"/>
          <w:b/>
          <w:sz w:val="22"/>
        </w:rPr>
        <w:t>India</w:t>
      </w:r>
      <w:r>
        <w:rPr>
          <w:rFonts w:ascii="Cambria" w:hAnsi="Cambria" w:cs="Cambria" w:eastAsia="Cambria"/>
          <w:sz w:val="22"/>
        </w:rPr>
        <w:t>: concluido en enero de 2026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Japón</w:t>
      </w:r>
      <w:r>
        <w:rPr>
          <w:rFonts w:ascii="Cambria" w:hAnsi="Cambria" w:cs="Cambria" w:eastAsia="Cambria"/>
          <w:sz w:val="22"/>
        </w:rPr>
        <w:t xml:space="preserve">: en vigor desde el </w:t>
      </w:r>
      <w:r>
        <w:rPr>
          <w:rFonts w:ascii="Cambria" w:hAnsi="Cambria" w:cs="Cambria" w:eastAsia="Cambria"/>
          <w:b/>
          <w:sz w:val="22"/>
        </w:rPr>
        <w:t>1 de febrero de 2019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China</w:t>
      </w:r>
      <w:r>
        <w:rPr>
          <w:rFonts w:ascii="Cambria" w:hAnsi="Cambria" w:cs="Cambria" w:eastAsia="Cambria"/>
          <w:sz w:val="22"/>
        </w:rPr>
        <w:t xml:space="preserve">: acuerdo sin concluir desde 2007, no es economía de mercado en la OMC, </w:t>
      </w:r>
      <w:r>
        <w:rPr>
          <w:rFonts w:ascii="Cambria" w:hAnsi="Cambria" w:cs="Cambria" w:eastAsia="Cambria"/>
          <w:b/>
          <w:sz w:val="22"/>
        </w:rPr>
        <w:t>CAI</w:t>
      </w:r>
      <w:r>
        <w:rPr>
          <w:rFonts w:ascii="Cambria" w:hAnsi="Cambria" w:cs="Cambria" w:eastAsia="Cambria"/>
          <w:sz w:val="22"/>
        </w:rPr>
        <w:t xml:space="preserve"> congelado desde 2021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TEORÍA Y PRÁCTICA DEL COMERCIO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Clásicos defienden el librecambio frente al mercantilismo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Ventaja absoluta</w:t>
      </w:r>
      <w:r>
        <w:rPr>
          <w:rFonts w:ascii="Cambria" w:hAnsi="Cambria" w:cs="Cambria" w:eastAsia="Cambria"/>
          <w:sz w:val="22"/>
        </w:rPr>
        <w:t xml:space="preserve"> de </w:t>
      </w:r>
      <w:r>
        <w:rPr>
          <w:rFonts w:ascii="Cambria" w:hAnsi="Cambria" w:cs="Cambria" w:eastAsia="Cambria"/>
          <w:b/>
          <w:sz w:val="22"/>
        </w:rPr>
        <w:t>Adam Smith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Ventaja comparativa</w:t>
      </w:r>
      <w:r>
        <w:rPr>
          <w:rFonts w:ascii="Cambria" w:hAnsi="Cambria" w:cs="Cambria" w:eastAsia="Cambria"/>
          <w:sz w:val="22"/>
        </w:rPr>
        <w:t xml:space="preserve"> de </w:t>
      </w:r>
      <w:r>
        <w:rPr>
          <w:rFonts w:ascii="Cambria" w:hAnsi="Cambria" w:cs="Cambria" w:eastAsia="Cambria"/>
          <w:b/>
          <w:sz w:val="22"/>
        </w:rPr>
        <w:t>David Ricardo</w:t>
      </w:r>
      <w:r>
        <w:rPr>
          <w:rFonts w:ascii="Cambria" w:hAnsi="Cambria" w:cs="Cambria" w:eastAsia="Cambria"/>
          <w:sz w:val="22"/>
        </w:rPr>
        <w:t>, fundamento central vigente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Preguntas: qué bienes se comercian, a qué precio, quién se beneficia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Teoría del comercio internacional: la ventaja comparativa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 absoluta</w:t>
      </w:r>
      <w:r>
        <w:rPr>
          <w:rFonts w:ascii="Cambria" w:hAnsi="Cambria" w:cs="Cambria" w:eastAsia="Cambria"/>
          <w:sz w:val="22"/>
        </w:rPr>
        <w:t>: se especializa en el bien que produce a menor coste. Si A la tiene en ambos bienes, no habría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 comparativa</w:t>
      </w:r>
      <w:r>
        <w:rPr>
          <w:rFonts w:ascii="Cambria" w:hAnsi="Cambria" w:cs="Cambria" w:eastAsia="Cambria"/>
          <w:sz w:val="22"/>
        </w:rPr>
        <w:t>: coste relativo, no absoluto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 se especializa en X si su coste relativo de X respecto a Y es menor que en 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Explica las ventajas recíprocas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Ejemplo</w:t>
      </w:r>
      <w:r>
        <w:rPr>
          <w:rFonts w:ascii="Cambria" w:hAnsi="Cambria" w:cs="Cambria" w:eastAsia="Cambria"/>
          <w:sz w:val="22"/>
        </w:rPr>
        <w:t xml:space="preserve"> tela y vino: A </w:t>
      </w:r>
      <w:r>
        <w:rPr>
          <w:rFonts w:ascii="Cambria" w:hAnsi="Cambria" w:cs="Cambria" w:eastAsia="Cambria"/>
          <w:b/>
          <w:sz w:val="22"/>
        </w:rPr>
        <w:t>100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120</w:t>
      </w:r>
      <w:r>
        <w:rPr>
          <w:rFonts w:ascii="Cambria" w:hAnsi="Cambria" w:cs="Cambria" w:eastAsia="Cambria"/>
          <w:sz w:val="22"/>
        </w:rPr>
        <w:t xml:space="preserve">, B </w:t>
      </w:r>
      <w:r>
        <w:rPr>
          <w:rFonts w:ascii="Cambria" w:hAnsi="Cambria" w:cs="Cambria" w:eastAsia="Cambria"/>
          <w:b/>
          <w:sz w:val="22"/>
        </w:rPr>
        <w:t>90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80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 tiene VA en ambos, pero VC en vino. A tiene VC en tela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Relación real de intercambio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Precios según </w:t>
      </w:r>
      <w:r>
        <w:rPr>
          <w:rFonts w:ascii="Cambria" w:hAnsi="Cambria" w:cs="Cambria" w:eastAsia="Cambria"/>
          <w:b/>
          <w:sz w:val="22"/>
        </w:rPr>
        <w:t>oferta</w:t>
      </w:r>
      <w:r>
        <w:rPr>
          <w:rFonts w:ascii="Cambria" w:hAnsi="Cambria" w:cs="Cambria" w:eastAsia="Cambria"/>
          <w:sz w:val="22"/>
        </w:rPr>
        <w:t xml:space="preserve"> (costes) y </w:t>
      </w:r>
      <w:r>
        <w:rPr>
          <w:rFonts w:ascii="Cambria" w:hAnsi="Cambria" w:cs="Cambria" w:eastAsia="Cambria"/>
          <w:b/>
          <w:sz w:val="22"/>
        </w:rPr>
        <w:t>demanda</w:t>
      </w:r>
      <w:r>
        <w:rPr>
          <w:rFonts w:ascii="Cambria" w:hAnsi="Cambria" w:cs="Cambria" w:eastAsia="Cambria"/>
          <w:sz w:val="22"/>
        </w:rPr>
        <w:t xml:space="preserve"> (preferencias)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RRI = Px / Pi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Mide el beneficio del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Sube: más importaciones por el mismo volumen de exportaciones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Baja: deterioro de los términos de intercambio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Librecambio y proteccionismo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Controversia resurgida por tensiones y aranceles unilaterales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Competencia perfecta (neoclásico)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Librecambio siempre superior en bienestar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Reparto según la RRI, pero ningún país empeora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Proteccionismo distorsiona y baja el bienestar global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Competencia imperfecta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Librecambio aporta variedad y menores precios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Argumentos proteccionistas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Industria naciente</w:t>
      </w:r>
      <w:r>
        <w:rPr>
          <w:rFonts w:ascii="Cambria" w:hAnsi="Cambria" w:cs="Cambria" w:eastAsia="Cambria"/>
          <w:sz w:val="22"/>
        </w:rPr>
        <w:t>: arancel temporal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Externalidades positivas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Política comercial estratégica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Sectores estratégicos</w:t>
      </w:r>
      <w:r>
        <w:rPr>
          <w:rFonts w:ascii="Cambria" w:hAnsi="Cambria" w:cs="Cambria" w:eastAsia="Cambria"/>
          <w:sz w:val="22"/>
        </w:rPr>
        <w:t>: defensa, energía, telecomunicaciones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Comercio no equitativo</w:t>
      </w:r>
      <w:r>
        <w:rPr>
          <w:rFonts w:ascii="Cambria" w:hAnsi="Cambria" w:cs="Cambria" w:eastAsia="Cambria"/>
          <w:sz w:val="22"/>
        </w:rPr>
        <w:t>: dumping social y medioambiental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Regionalismo junto con bilateralismo y proteccionismo arancelario abierto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Riesgo para el </w:t>
      </w:r>
      <w:r>
        <w:rPr>
          <w:rFonts w:ascii="Cambria" w:hAnsi="Cambria" w:cs="Cambria" w:eastAsia="Cambria"/>
          <w:b/>
          <w:sz w:val="22"/>
        </w:rPr>
        <w:t>multilateralismo</w:t>
      </w:r>
      <w:r>
        <w:rPr>
          <w:rFonts w:ascii="Cambria" w:hAnsi="Cambria" w:cs="Cambria" w:eastAsia="Cambria"/>
          <w:sz w:val="22"/>
        </w:rPr>
        <w:t xml:space="preserve"> del GATT y la OMC (</w:t>
      </w:r>
      <w:r>
        <w:rPr>
          <w:rFonts w:ascii="Cambria" w:hAnsi="Cambria" w:cs="Cambria" w:eastAsia="Cambria"/>
          <w:b/>
          <w:sz w:val="22"/>
        </w:rPr>
        <w:t>Yaundé</w:t>
      </w:r>
      <w:r>
        <w:rPr>
          <w:rFonts w:ascii="Cambria" w:hAnsi="Cambria" w:cs="Cambria" w:eastAsia="Cambria"/>
          <w:sz w:val="22"/>
        </w:rPr>
        <w:t xml:space="preserve">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UE-MERCOSUR</w:t>
      </w:r>
      <w:r>
        <w:rPr>
          <w:rFonts w:ascii="Cambria" w:hAnsi="Cambria" w:cs="Cambria" w:eastAsia="Cambria"/>
          <w:sz w:val="22"/>
        </w:rPr>
        <w:t>: vigencia definitiva sujeta al TJUE y a ratificaciones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T-MEC</w:t>
      </w:r>
      <w:r>
        <w:rPr>
          <w:rFonts w:ascii="Cambria" w:hAnsi="Cambria" w:cs="Cambria" w:eastAsia="Cambria"/>
          <w:sz w:val="22"/>
        </w:rPr>
        <w:t>: revisión de julio de 2026 sin prórroga, marco vigente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Futuro dependiente de que bloques y </w:t>
      </w:r>
      <w:r>
        <w:rPr>
          <w:rFonts w:ascii="Cambria" w:hAnsi="Cambria" w:cs="Cambria" w:eastAsia="Cambria"/>
          <w:b/>
          <w:sz w:val="22"/>
        </w:rPr>
        <w:t>OMC</w:t>
      </w:r>
      <w:r>
        <w:rPr>
          <w:rFonts w:ascii="Cambria" w:hAnsi="Cambria" w:cs="Cambria" w:eastAsia="Cambria"/>
          <w:sz w:val="22"/>
        </w:rPr>
        <w:t xml:space="preserve"> preserven el marco multilateral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 – El comercio internacional. Marco general y principales magnitudes.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 – El comercio internacional. Marco general y principales magnitudes.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