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Cambria" w:hAnsi="Cambria" w:cs="Cambria" w:eastAsia="Cambria"/>
          <w:b/>
          <w:color w:val="0F4761"/>
          <w:sz w:val="28"/>
        </w:rPr>
        <w:t>1. INTRODUCCIÓN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Internacionalización: más </w:t>
      </w:r>
      <w:r>
        <w:rPr>
          <w:rFonts w:ascii="Cambria" w:hAnsi="Cambria" w:cs="Cambria" w:eastAsia="Cambria"/>
          <w:b/>
          <w:sz w:val="22"/>
        </w:rPr>
        <w:t>compraventa, inversión y servicios</w:t>
      </w:r>
      <w:r>
        <w:rPr>
          <w:rFonts w:ascii="Cambria" w:hAnsi="Cambria" w:cs="Cambria" w:eastAsia="Cambria"/>
          <w:sz w:val="22"/>
        </w:rPr>
        <w:t xml:space="preserve"> entre empresas de distintos países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Necesaria regulación contractual de derechos, obligaciones y mecanismos ante </w:t>
      </w:r>
      <w:r>
        <w:rPr>
          <w:rFonts w:ascii="Cambria" w:hAnsi="Cambria" w:cs="Cambria" w:eastAsia="Cambria"/>
          <w:b/>
          <w:sz w:val="22"/>
        </w:rPr>
        <w:t>incumplimiento o conflicto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El contrato internacional aporta </w:t>
      </w:r>
      <w:r>
        <w:rPr>
          <w:rFonts w:ascii="Cambria" w:hAnsi="Cambria" w:cs="Cambria" w:eastAsia="Cambria"/>
          <w:b/>
          <w:sz w:val="22"/>
        </w:rPr>
        <w:t>previsibilidad</w:t>
      </w:r>
      <w:r>
        <w:rPr>
          <w:rFonts w:ascii="Cambria" w:hAnsi="Cambria" w:cs="Cambria" w:eastAsia="Cambria"/>
          <w:sz w:val="22"/>
        </w:rPr>
        <w:t>, reparto de riesgos y mecanismos de resolución</w:t>
      </w:r>
    </w:p>
    <w:p>
      <w:pPr>
        <w:pStyle w:val="Heading1"/>
      </w:pPr>
      <w:r>
        <w:rPr>
          <w:rFonts w:ascii="Cambria" w:hAnsi="Cambria" w:cs="Cambria" w:eastAsia="Cambria"/>
          <w:b/>
          <w:color w:val="0F4761"/>
          <w:sz w:val="28"/>
        </w:rPr>
        <w:t>2. INCUMPLIMIENTO DE OBLIGACIONES Y RESOLUCIÓN DE CONFLICTOS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Incumplimiento imputable</w:t>
      </w:r>
      <w:r>
        <w:rPr>
          <w:rFonts w:ascii="Cambria" w:hAnsi="Cambria" w:cs="Cambria" w:eastAsia="Cambria"/>
          <w:sz w:val="22"/>
        </w:rPr>
        <w:t xml:space="preserve"> (dolo o negligencia) frente a </w:t>
      </w:r>
      <w:r>
        <w:rPr>
          <w:rFonts w:ascii="Cambria" w:hAnsi="Cambria" w:cs="Cambria" w:eastAsia="Cambria"/>
          <w:b/>
          <w:sz w:val="22"/>
        </w:rPr>
        <w:t>no imputable</w:t>
      </w:r>
      <w:r>
        <w:rPr>
          <w:rFonts w:ascii="Cambria" w:hAnsi="Cambria" w:cs="Cambria" w:eastAsia="Cambria"/>
          <w:sz w:val="22"/>
        </w:rPr>
        <w:t xml:space="preserve"> (circunstancias ajenas)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Derecho español</w:t>
      </w:r>
      <w:r>
        <w:rPr>
          <w:rFonts w:ascii="Cambria" w:hAnsi="Cambria" w:cs="Cambria" w:eastAsia="Cambria"/>
          <w:sz w:val="22"/>
        </w:rPr>
        <w:t>: el dolo agrava, el deudor responde de todos los daños que conocidamente se deriven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Convención de Viena</w:t>
      </w:r>
      <w:r>
        <w:rPr>
          <w:rFonts w:ascii="Cambria" w:hAnsi="Cambria" w:cs="Cambria" w:eastAsia="Cambria"/>
          <w:sz w:val="22"/>
        </w:rPr>
        <w:t>: responsabilidad por daños sin culpa, salvo impedimento exonerador (</w:t>
      </w:r>
      <w:r>
        <w:rPr>
          <w:rFonts w:ascii="Cambria" w:hAnsi="Cambria" w:cs="Cambria" w:eastAsia="Cambria"/>
          <w:b/>
          <w:sz w:val="22"/>
        </w:rPr>
        <w:t>art. 79</w:t>
      </w:r>
      <w:r>
        <w:rPr>
          <w:rFonts w:ascii="Cambria" w:hAnsi="Cambria" w:cs="Cambria" w:eastAsia="Cambria"/>
          <w:sz w:val="22"/>
        </w:rPr>
        <w:t>)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Remedios</w:t>
      </w:r>
      <w:r>
        <w:rPr>
          <w:rFonts w:ascii="Cambria" w:hAnsi="Cambria" w:cs="Cambria" w:eastAsia="Cambria"/>
          <w:sz w:val="22"/>
        </w:rPr>
        <w:t>: cumplimiento específico, resolución, reducción del precio, indemnización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Viena: resolución solo por </w:t>
      </w:r>
      <w:r>
        <w:rPr>
          <w:rFonts w:ascii="Cambria" w:hAnsi="Cambria" w:cs="Cambria" w:eastAsia="Cambria"/>
          <w:b/>
          <w:sz w:val="22"/>
        </w:rPr>
        <w:t>incumplimiento esencial</w:t>
      </w:r>
      <w:r>
        <w:rPr>
          <w:rFonts w:ascii="Cambria" w:hAnsi="Cambria" w:cs="Cambria" w:eastAsia="Cambria"/>
          <w:sz w:val="22"/>
        </w:rPr>
        <w:t xml:space="preserve"> (</w:t>
      </w:r>
      <w:r>
        <w:rPr>
          <w:rFonts w:ascii="Cambria" w:hAnsi="Cambria" w:cs="Cambria" w:eastAsia="Cambria"/>
          <w:b/>
          <w:sz w:val="22"/>
        </w:rPr>
        <w:t>art. 25</w:t>
      </w:r>
      <w:r>
        <w:rPr>
          <w:rFonts w:ascii="Cambria" w:hAnsi="Cambria" w:cs="Cambria" w:eastAsia="Cambria"/>
          <w:sz w:val="22"/>
        </w:rPr>
        <w:t xml:space="preserve">) o incumplimiento del </w:t>
      </w:r>
      <w:r>
        <w:rPr>
          <w:rFonts w:ascii="Cambria" w:hAnsi="Cambria" w:cs="Cambria" w:eastAsia="Cambria"/>
          <w:b/>
          <w:sz w:val="22"/>
        </w:rPr>
        <w:t>plazo suplementario</w:t>
      </w:r>
      <w:r>
        <w:rPr>
          <w:rFonts w:ascii="Cambria" w:hAnsi="Cambria" w:cs="Cambria" w:eastAsia="Cambria"/>
          <w:sz w:val="22"/>
        </w:rPr>
        <w:t xml:space="preserve"> (</w:t>
      </w:r>
      <w:r>
        <w:rPr>
          <w:rFonts w:ascii="Cambria" w:hAnsi="Cambria" w:cs="Cambria" w:eastAsia="Cambria"/>
          <w:b/>
          <w:sz w:val="22"/>
        </w:rPr>
        <w:t>arts. 47 y 63</w:t>
      </w:r>
      <w:r>
        <w:rPr>
          <w:rFonts w:ascii="Cambria" w:hAnsi="Cambria" w:cs="Cambria" w:eastAsia="Cambria"/>
          <w:sz w:val="22"/>
        </w:rPr>
        <w:t>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Reducción del precio para mercaderías no conformes (</w:t>
      </w:r>
      <w:r>
        <w:rPr>
          <w:rFonts w:ascii="Cambria" w:hAnsi="Cambria" w:cs="Cambria" w:eastAsia="Cambria"/>
          <w:b/>
          <w:sz w:val="22"/>
        </w:rPr>
        <w:t>art. 50</w:t>
      </w:r>
      <w:r>
        <w:rPr>
          <w:rFonts w:ascii="Cambria" w:hAnsi="Cambria" w:cs="Cambria" w:eastAsia="Cambria"/>
          <w:sz w:val="22"/>
        </w:rPr>
        <w:t>)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Exoneración en Derecho español</w:t>
      </w:r>
      <w:r>
        <w:rPr>
          <w:rFonts w:ascii="Cambria" w:hAnsi="Cambria" w:cs="Cambria" w:eastAsia="Cambria"/>
          <w:sz w:val="22"/>
        </w:rPr>
        <w:t xml:space="preserve"> (</w:t>
      </w:r>
      <w:r>
        <w:rPr>
          <w:rFonts w:ascii="Cambria" w:hAnsi="Cambria" w:cs="Cambria" w:eastAsia="Cambria"/>
          <w:b/>
          <w:sz w:val="22"/>
        </w:rPr>
        <w:t>art. 1105 Código Civil</w:t>
      </w:r>
      <w:r>
        <w:rPr>
          <w:rFonts w:ascii="Cambria" w:hAnsi="Cambria" w:cs="Cambria" w:eastAsia="Cambria"/>
          <w:sz w:val="22"/>
        </w:rPr>
        <w:t>): sucesos imprevisibles o, previstos, inevitables, salvo pacto o ley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Fuerza mayor</w:t>
      </w:r>
      <w:r>
        <w:rPr>
          <w:rFonts w:ascii="Cambria" w:hAnsi="Cambria" w:cs="Cambria" w:eastAsia="Cambria"/>
          <w:sz w:val="22"/>
        </w:rPr>
        <w:t>: extraordinario, ajeno al deudor, inevitable (guerra, catástrofe)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Caso fortuito</w:t>
      </w:r>
      <w:r>
        <w:rPr>
          <w:rFonts w:ascii="Cambria" w:hAnsi="Cambria" w:cs="Cambria" w:eastAsia="Cambria"/>
          <w:sz w:val="22"/>
        </w:rPr>
        <w:t>: imprevisible pero dentro del ámbito de actividad del obligado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Quien invoca debe acreditar la </w:t>
      </w:r>
      <w:r>
        <w:rPr>
          <w:rFonts w:ascii="Cambria" w:hAnsi="Cambria" w:cs="Cambria" w:eastAsia="Cambria"/>
          <w:b/>
          <w:sz w:val="22"/>
        </w:rPr>
        <w:t>causalidad</w:t>
      </w:r>
      <w:r>
        <w:rPr>
          <w:rFonts w:ascii="Cambria" w:hAnsi="Cambria" w:cs="Cambria" w:eastAsia="Cambria"/>
          <w:sz w:val="22"/>
        </w:rPr>
        <w:t xml:space="preserve"> con la imposibilidad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Cláusulas habituales</w:t>
      </w:r>
      <w:r>
        <w:rPr>
          <w:rFonts w:ascii="Cambria" w:hAnsi="Cambria" w:cs="Cambria" w:eastAsia="Cambria"/>
          <w:sz w:val="22"/>
        </w:rPr>
        <w:t xml:space="preserve">: fuerza mayor y </w:t>
      </w:r>
      <w:r>
        <w:rPr>
          <w:rFonts w:ascii="Cambria" w:hAnsi="Cambria" w:cs="Cambria" w:eastAsia="Cambria"/>
          <w:b/>
          <w:sz w:val="22"/>
        </w:rPr>
        <w:t>hardship</w:t>
      </w:r>
      <w:r>
        <w:rPr>
          <w:rFonts w:ascii="Cambria" w:hAnsi="Cambria" w:cs="Cambria" w:eastAsia="Cambria"/>
          <w:sz w:val="22"/>
        </w:rPr>
        <w:t xml:space="preserve"> (CCI 2020)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Hardship: renegociar si circunstancias sobrevenidas alteran gravemente el equilibrio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Recogido en </w:t>
      </w:r>
      <w:r>
        <w:rPr>
          <w:rFonts w:ascii="Cambria" w:hAnsi="Cambria" w:cs="Cambria" w:eastAsia="Cambria"/>
          <w:b/>
          <w:sz w:val="22"/>
        </w:rPr>
        <w:t>Principios UNIDROIT</w:t>
      </w:r>
      <w:r>
        <w:rPr>
          <w:rFonts w:ascii="Cambria" w:hAnsi="Cambria" w:cs="Cambria" w:eastAsia="Cambria"/>
          <w:sz w:val="22"/>
        </w:rPr>
        <w:t xml:space="preserve"> y, en España, </w:t>
      </w:r>
      <w:r>
        <w:rPr>
          <w:rFonts w:ascii="Cambria" w:hAnsi="Cambria" w:cs="Cambria" w:eastAsia="Cambria"/>
          <w:b/>
          <w:sz w:val="22"/>
        </w:rPr>
        <w:t>rebus sic stantibus</w:t>
      </w:r>
      <w:r>
        <w:rPr>
          <w:rFonts w:ascii="Cambria" w:hAnsi="Cambria" w:cs="Cambria" w:eastAsia="Cambria"/>
          <w:sz w:val="22"/>
        </w:rPr>
        <w:t xml:space="preserve"> (aplicación restrictiva)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Art. 79 Viena</w:t>
      </w:r>
      <w:r>
        <w:rPr>
          <w:rFonts w:ascii="Cambria" w:hAnsi="Cambria" w:cs="Cambria" w:eastAsia="Cambria"/>
          <w:sz w:val="22"/>
        </w:rPr>
        <w:t>: impedimento ajeno a su voluntad, no previsible al contratar, consecuencias inevitables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Exonera </w:t>
      </w:r>
      <w:r>
        <w:rPr>
          <w:rFonts w:ascii="Cambria" w:hAnsi="Cambria" w:cs="Cambria" w:eastAsia="Cambria"/>
          <w:b/>
          <w:sz w:val="22"/>
        </w:rPr>
        <w:t>solo de daños</w:t>
      </w:r>
      <w:r>
        <w:rPr>
          <w:rFonts w:ascii="Cambria" w:hAnsi="Cambria" w:cs="Cambria" w:eastAsia="Cambria"/>
          <w:sz w:val="22"/>
        </w:rPr>
        <w:t xml:space="preserve">, mientras dure el impedimento, con </w:t>
      </w:r>
      <w:r>
        <w:rPr>
          <w:rFonts w:ascii="Cambria" w:hAnsi="Cambria" w:cs="Cambria" w:eastAsia="Cambria"/>
          <w:b/>
          <w:sz w:val="22"/>
        </w:rPr>
        <w:t>comunicación</w:t>
      </w:r>
      <w:r>
        <w:rPr>
          <w:rFonts w:ascii="Cambria" w:hAnsi="Cambria" w:cs="Cambria" w:eastAsia="Cambria"/>
          <w:sz w:val="22"/>
        </w:rPr>
        <w:t xml:space="preserve"> en plazo razonable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La parte perjudicada conserva resolución y reducción del precio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2.1. Vías de resolución de conflictos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Dificultad: </w:t>
      </w:r>
      <w:r>
        <w:rPr>
          <w:rFonts w:ascii="Cambria" w:hAnsi="Cambria" w:cs="Cambria" w:eastAsia="Cambria"/>
          <w:b/>
          <w:sz w:val="22"/>
        </w:rPr>
        <w:t>tribunal competente y Derecho aplicable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No hay tribunal internacional general para controversias comerciales entre empresas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UE: </w:t>
      </w:r>
      <w:r>
        <w:rPr>
          <w:rFonts w:ascii="Cambria" w:hAnsi="Cambria" w:cs="Cambria" w:eastAsia="Cambria"/>
          <w:b/>
          <w:sz w:val="22"/>
        </w:rPr>
        <w:t>Reglamento (UE) 1215/2012 (Bruselas I bis)</w:t>
      </w:r>
      <w:r>
        <w:rPr>
          <w:rFonts w:ascii="Cambria" w:hAnsi="Cambria" w:cs="Cambria" w:eastAsia="Cambria"/>
          <w:sz w:val="22"/>
        </w:rPr>
        <w:t>, excluye el arbitraje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Costes de la vía judicial: distancia, idioma, ley aplicable, duración, ejecución en otro Estado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Mecanismos extrajudiciales</w:t>
      </w:r>
      <w:r>
        <w:rPr>
          <w:rFonts w:ascii="Cambria" w:hAnsi="Cambria" w:cs="Cambria" w:eastAsia="Cambria"/>
          <w:sz w:val="22"/>
        </w:rPr>
        <w:t>: negociación, mediación, conciliación, buenos oficios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Tercero facilita, la solución depende del acuerdo de las partes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Ley 5/2012</w:t>
      </w:r>
      <w:r>
        <w:rPr>
          <w:rFonts w:ascii="Cambria" w:hAnsi="Cambria" w:cs="Cambria" w:eastAsia="Cambria"/>
          <w:sz w:val="22"/>
        </w:rPr>
        <w:t>, mediación civil y mercantil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Ley Orgánica 1/2025</w:t>
      </w:r>
      <w:r>
        <w:rPr>
          <w:rFonts w:ascii="Cambria" w:hAnsi="Cambria" w:cs="Cambria" w:eastAsia="Cambria"/>
          <w:sz w:val="22"/>
        </w:rPr>
        <w:t>: intento previo de medio adecuado de solución como requisito para demandar (con excepciones)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Convención de Singapur de 2018</w:t>
      </w:r>
      <w:r>
        <w:rPr>
          <w:rFonts w:ascii="Cambria" w:hAnsi="Cambria" w:cs="Cambria" w:eastAsia="Cambria"/>
          <w:sz w:val="22"/>
        </w:rPr>
        <w:t>: ejecución de acuerdos de transacción internacionales de mediación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Arbitraje Comercial Internacional</w:t>
      </w:r>
      <w:r>
        <w:rPr>
          <w:rFonts w:ascii="Cambria" w:hAnsi="Cambria" w:cs="Cambria" w:eastAsia="Cambria"/>
          <w:sz w:val="22"/>
        </w:rPr>
        <w:t xml:space="preserve">: árbitros y </w:t>
      </w:r>
      <w:r>
        <w:rPr>
          <w:rFonts w:ascii="Cambria" w:hAnsi="Cambria" w:cs="Cambria" w:eastAsia="Cambria"/>
          <w:b/>
          <w:sz w:val="22"/>
        </w:rPr>
        <w:t>laudo</w:t>
      </w:r>
      <w:r>
        <w:rPr>
          <w:rFonts w:ascii="Cambria" w:hAnsi="Cambria" w:cs="Cambria" w:eastAsia="Cambria"/>
          <w:sz w:val="22"/>
        </w:rPr>
        <w:t xml:space="preserve"> vinculante</w:t>
      </w:r>
    </w:p>
    <w:p>
      <w:pPr>
        <w:pStyle w:val="Heading1"/>
      </w:pPr>
      <w:r>
        <w:rPr>
          <w:rFonts w:ascii="Cambria" w:hAnsi="Cambria" w:cs="Cambria" w:eastAsia="Cambria"/>
          <w:b/>
          <w:color w:val="0F4761"/>
          <w:sz w:val="28"/>
        </w:rPr>
        <w:t>3. CASOS MÁS FRECUENTES DE INCUMPLIMIENTO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CCI 2025</w:t>
      </w:r>
      <w:r>
        <w:rPr>
          <w:rFonts w:ascii="Cambria" w:hAnsi="Cambria" w:cs="Cambria" w:eastAsia="Cambria"/>
          <w:sz w:val="22"/>
        </w:rPr>
        <w:t xml:space="preserve">: </w:t>
      </w:r>
      <w:r>
        <w:rPr>
          <w:rFonts w:ascii="Cambria" w:hAnsi="Cambria" w:cs="Cambria" w:eastAsia="Cambria"/>
          <w:b/>
          <w:sz w:val="22"/>
        </w:rPr>
        <w:t>894</w:t>
      </w:r>
      <w:r>
        <w:rPr>
          <w:rFonts w:ascii="Cambria" w:hAnsi="Cambria" w:cs="Cambria" w:eastAsia="Cambria"/>
          <w:sz w:val="22"/>
        </w:rPr>
        <w:t xml:space="preserve"> nuevos asuntos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Sectores: construcción e ingeniería y energía, en torno al </w:t>
      </w:r>
      <w:r>
        <w:rPr>
          <w:rFonts w:ascii="Cambria" w:hAnsi="Cambria" w:cs="Cambria" w:eastAsia="Cambria"/>
          <w:b/>
          <w:sz w:val="22"/>
        </w:rPr>
        <w:t>43 %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Después: salud y farmacéuticos, transporte, telecomunicaciones, equipamiento industrial, servicios financieros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Contratos: construcción e ingeniería, compraventa de mercancías, servicios, societarios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España, entre los países con más arbitrajes internos en la CCI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Compraventa internacional</w:t>
      </w:r>
      <w:r>
        <w:rPr>
          <w:rFonts w:ascii="Cambria" w:hAnsi="Cambria" w:cs="Cambria" w:eastAsia="Cambria"/>
          <w:sz w:val="22"/>
        </w:rPr>
        <w:t xml:space="preserve">: falta o retraso en la </w:t>
      </w:r>
      <w:r>
        <w:rPr>
          <w:rFonts w:ascii="Cambria" w:hAnsi="Cambria" w:cs="Cambria" w:eastAsia="Cambria"/>
          <w:b/>
          <w:sz w:val="22"/>
        </w:rPr>
        <w:t>entrega</w:t>
      </w:r>
      <w:r>
        <w:rPr>
          <w:rFonts w:ascii="Cambria" w:hAnsi="Cambria" w:cs="Cambria" w:eastAsia="Cambria"/>
          <w:sz w:val="22"/>
        </w:rPr>
        <w:t xml:space="preserve">, impago, incumplimiento en la </w:t>
      </w:r>
      <w:r>
        <w:rPr>
          <w:rFonts w:ascii="Cambria" w:hAnsi="Cambria" w:cs="Cambria" w:eastAsia="Cambria"/>
          <w:b/>
          <w:sz w:val="22"/>
        </w:rPr>
        <w:t>recepción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También calidad, cantidad, documentación, conformidad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Cámara de Comercio Internacional (CCI)</w:t>
      </w:r>
      <w:r>
        <w:rPr>
          <w:rFonts w:ascii="Cambria" w:hAnsi="Cambria" w:cs="Cambria" w:eastAsia="Cambria"/>
          <w:sz w:val="22"/>
        </w:rPr>
        <w:t xml:space="preserve">: fundada en París en </w:t>
      </w:r>
      <w:r>
        <w:rPr>
          <w:rFonts w:ascii="Cambria" w:hAnsi="Cambria" w:cs="Cambria" w:eastAsia="Cambria"/>
          <w:b/>
          <w:sz w:val="22"/>
        </w:rPr>
        <w:t>1919</w:t>
      </w:r>
      <w:r>
        <w:rPr>
          <w:rFonts w:ascii="Cambria" w:hAnsi="Cambria" w:cs="Cambria" w:eastAsia="Cambria"/>
          <w:sz w:val="22"/>
        </w:rPr>
        <w:t xml:space="preserve">, más de </w:t>
      </w:r>
      <w:r>
        <w:rPr>
          <w:rFonts w:ascii="Cambria" w:hAnsi="Cambria" w:cs="Cambria" w:eastAsia="Cambria"/>
          <w:b/>
          <w:sz w:val="22"/>
        </w:rPr>
        <w:t>170 países</w:t>
      </w:r>
      <w:r>
        <w:rPr>
          <w:rFonts w:ascii="Cambria" w:hAnsi="Cambria" w:cs="Cambria" w:eastAsia="Cambria"/>
          <w:sz w:val="22"/>
        </w:rPr>
        <w:t xml:space="preserve">, más de </w:t>
      </w:r>
      <w:r>
        <w:rPr>
          <w:rFonts w:ascii="Cambria" w:hAnsi="Cambria" w:cs="Cambria" w:eastAsia="Cambria"/>
          <w:b/>
          <w:sz w:val="22"/>
        </w:rPr>
        <w:t>45 millones</w:t>
      </w:r>
      <w:r>
        <w:rPr>
          <w:rFonts w:ascii="Cambria" w:hAnsi="Cambria" w:cs="Cambria" w:eastAsia="Cambria"/>
          <w:sz w:val="22"/>
        </w:rPr>
        <w:t xml:space="preserve"> de empresas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Resolución de controversias mediante la </w:t>
      </w:r>
      <w:r>
        <w:rPr>
          <w:rFonts w:ascii="Cambria" w:hAnsi="Cambria" w:cs="Cambria" w:eastAsia="Cambria"/>
          <w:b/>
          <w:sz w:val="22"/>
        </w:rPr>
        <w:t>Corte Internacional de Arbitraje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Reglamento de Arbitraje CCI 2026</w:t>
      </w:r>
      <w:r>
        <w:rPr>
          <w:rFonts w:ascii="Cambria" w:hAnsi="Cambria" w:cs="Cambria" w:eastAsia="Cambria"/>
          <w:sz w:val="22"/>
        </w:rPr>
        <w:t xml:space="preserve">, aplicable desde el </w:t>
      </w:r>
      <w:r>
        <w:rPr>
          <w:rFonts w:ascii="Cambria" w:hAnsi="Cambria" w:cs="Cambria" w:eastAsia="Cambria"/>
          <w:b/>
          <w:sz w:val="22"/>
        </w:rPr>
        <w:t>1 de junio de 2026</w:t>
      </w:r>
    </w:p>
    <w:p>
      <w:pPr>
        <w:pStyle w:val="Heading1"/>
      </w:pPr>
      <w:r>
        <w:rPr>
          <w:rFonts w:ascii="Cambria" w:hAnsi="Cambria" w:cs="Cambria" w:eastAsia="Cambria"/>
          <w:b/>
          <w:color w:val="0F4761"/>
          <w:sz w:val="28"/>
        </w:rPr>
        <w:t>4. PREVENCIÓN DE CONFLICTOS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Armonización y unificación del Derecho mercantil internacional para interpretación uniforme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Leyes Uniformes de La Haya de 1964</w:t>
      </w:r>
      <w:r>
        <w:rPr>
          <w:rFonts w:ascii="Cambria" w:hAnsi="Cambria" w:cs="Cambria" w:eastAsia="Cambria"/>
          <w:sz w:val="22"/>
        </w:rPr>
        <w:t>: antecedente, relevancia actual limitada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Convención de Viena de 1980 (CISG)</w:t>
      </w:r>
      <w:r>
        <w:rPr>
          <w:rFonts w:ascii="Cambria" w:hAnsi="Cambria" w:cs="Cambria" w:eastAsia="Cambria"/>
          <w:sz w:val="22"/>
        </w:rPr>
        <w:t xml:space="preserve">, CNUDMI/UNCITRAL, </w:t>
      </w:r>
      <w:r>
        <w:rPr>
          <w:rFonts w:ascii="Cambria" w:hAnsi="Cambria" w:cs="Cambria" w:eastAsia="Cambria"/>
          <w:b/>
          <w:sz w:val="22"/>
        </w:rPr>
        <w:t>11 de abril de 1980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Principal instrumento de unificación de la compraventa internacional de mercaderías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España parte desde el </w:t>
      </w:r>
      <w:r>
        <w:rPr>
          <w:rFonts w:ascii="Cambria" w:hAnsi="Cambria" w:cs="Cambria" w:eastAsia="Cambria"/>
          <w:b/>
          <w:sz w:val="22"/>
        </w:rPr>
        <w:t>24 de julio de 1990</w:t>
      </w:r>
      <w:r>
        <w:rPr>
          <w:rFonts w:ascii="Cambria" w:hAnsi="Cambria" w:cs="Cambria" w:eastAsia="Cambria"/>
          <w:sz w:val="22"/>
        </w:rPr>
        <w:t xml:space="preserve">, en vigor el </w:t>
      </w:r>
      <w:r>
        <w:rPr>
          <w:rFonts w:ascii="Cambria" w:hAnsi="Cambria" w:cs="Cambria" w:eastAsia="Cambria"/>
          <w:b/>
          <w:sz w:val="22"/>
        </w:rPr>
        <w:t>1 de agosto de 1991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97</w:t>
      </w:r>
      <w:r>
        <w:rPr>
          <w:rFonts w:ascii="Cambria" w:hAnsi="Cambria" w:cs="Cambria" w:eastAsia="Cambria"/>
          <w:sz w:val="22"/>
        </w:rPr>
        <w:t xml:space="preserve"> Estados parte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Regula</w:t>
      </w:r>
      <w:r>
        <w:rPr>
          <w:rFonts w:ascii="Cambria" w:hAnsi="Cambria" w:cs="Cambria" w:eastAsia="Cambria"/>
          <w:sz w:val="22"/>
        </w:rPr>
        <w:t>: formación del contrato y derechos y obligaciones de comprador y vendedor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No se aplica</w:t>
      </w:r>
      <w:r>
        <w:rPr>
          <w:rFonts w:ascii="Cambria" w:hAnsi="Cambria" w:cs="Cambria" w:eastAsia="Cambria"/>
          <w:sz w:val="22"/>
        </w:rPr>
        <w:t xml:space="preserve"> a valores, títulos, dinero, buques, aeronaves, electricidad, subastas y ventas judiciales, uso personal o doméstico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Las partes pueden excluirla o modificar sus efectos (</w:t>
      </w:r>
      <w:r>
        <w:rPr>
          <w:rFonts w:ascii="Cambria" w:hAnsi="Cambria" w:cs="Cambria" w:eastAsia="Cambria"/>
          <w:b/>
          <w:sz w:val="22"/>
        </w:rPr>
        <w:t>art. 6</w:t>
      </w:r>
      <w:r>
        <w:rPr>
          <w:rFonts w:ascii="Cambria" w:hAnsi="Cambria" w:cs="Cambria" w:eastAsia="Cambria"/>
          <w:sz w:val="22"/>
        </w:rPr>
        <w:t>)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No regula validez del contrato ni transmisión de la propiedad (</w:t>
      </w:r>
      <w:r>
        <w:rPr>
          <w:rFonts w:ascii="Cambria" w:hAnsi="Cambria" w:cs="Cambria" w:eastAsia="Cambria"/>
          <w:b/>
          <w:sz w:val="22"/>
        </w:rPr>
        <w:t>art. 4</w:t>
      </w:r>
      <w:r>
        <w:rPr>
          <w:rFonts w:ascii="Cambria" w:hAnsi="Cambria" w:cs="Cambria" w:eastAsia="Cambria"/>
          <w:sz w:val="22"/>
        </w:rPr>
        <w:t>)</w:t>
      </w:r>
    </w:p>
    <w:p>
      <w:pPr>
        <w:pStyle w:val="Heading1"/>
      </w:pPr>
      <w:r>
        <w:rPr>
          <w:rFonts w:ascii="Cambria" w:hAnsi="Cambria" w:cs="Cambria" w:eastAsia="Cambria"/>
          <w:b/>
          <w:color w:val="0F4761"/>
          <w:sz w:val="28"/>
        </w:rPr>
        <w:t>5. RESOLUCIÓN DE CONFLICTOS: ESPECIAL REFERENCIA AL ARBITRAJE COMERCIAL INTERNACIONAL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Definición</w:t>
      </w:r>
      <w:r>
        <w:rPr>
          <w:rFonts w:ascii="Cambria" w:hAnsi="Cambria" w:cs="Cambria" w:eastAsia="Cambria"/>
          <w:sz w:val="22"/>
        </w:rPr>
        <w:t xml:space="preserve">: institución jurídico-procesal basada en la </w:t>
      </w:r>
      <w:r>
        <w:rPr>
          <w:rFonts w:ascii="Cambria" w:hAnsi="Cambria" w:cs="Cambria" w:eastAsia="Cambria"/>
          <w:b/>
          <w:sz w:val="22"/>
        </w:rPr>
        <w:t>autonomía de la voluntad</w:t>
      </w:r>
      <w:r>
        <w:rPr>
          <w:rFonts w:ascii="Cambria" w:hAnsi="Cambria" w:cs="Cambria" w:eastAsia="Cambria"/>
          <w:sz w:val="22"/>
        </w:rPr>
        <w:t>, sometimiento a uno o varios árbitros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Termina con </w:t>
      </w:r>
      <w:r>
        <w:rPr>
          <w:rFonts w:ascii="Cambria" w:hAnsi="Cambria" w:cs="Cambria" w:eastAsia="Cambria"/>
          <w:b/>
          <w:sz w:val="22"/>
        </w:rPr>
        <w:t>laudo</w:t>
      </w:r>
      <w:r>
        <w:rPr>
          <w:rFonts w:ascii="Cambria" w:hAnsi="Cambria" w:cs="Cambria" w:eastAsia="Cambria"/>
          <w:sz w:val="22"/>
        </w:rPr>
        <w:t xml:space="preserve"> vinculante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Alternativa a la jurisdicción estatal: las partes pactan institución, árbitros, sede, idioma y reglas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Neutralidad y ejecución del laudo: </w:t>
      </w:r>
      <w:r>
        <w:rPr>
          <w:rFonts w:ascii="Cambria" w:hAnsi="Cambria" w:cs="Cambria" w:eastAsia="Cambria"/>
          <w:b/>
          <w:sz w:val="22"/>
        </w:rPr>
        <w:t>Convención de Nueva York de 1958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Características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Voluntariedad</w:t>
      </w:r>
      <w:r>
        <w:rPr>
          <w:rFonts w:ascii="Cambria" w:hAnsi="Cambria" w:cs="Cambria" w:eastAsia="Cambria"/>
          <w:sz w:val="22"/>
        </w:rPr>
        <w:t>: nace del convenio arbitral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Carácter vinculante</w:t>
      </w:r>
      <w:r>
        <w:rPr>
          <w:rFonts w:ascii="Cambria" w:hAnsi="Cambria" w:cs="Cambria" w:eastAsia="Cambria"/>
          <w:sz w:val="22"/>
        </w:rPr>
        <w:t xml:space="preserve"> del laudo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Especialización</w:t>
      </w:r>
      <w:r>
        <w:rPr>
          <w:rFonts w:ascii="Cambria" w:hAnsi="Cambria" w:cs="Cambria" w:eastAsia="Cambria"/>
          <w:sz w:val="22"/>
        </w:rPr>
        <w:t xml:space="preserve"> de los árbitros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Flexibilidad</w:t>
      </w:r>
      <w:r>
        <w:rPr>
          <w:rFonts w:ascii="Cambria" w:hAnsi="Cambria" w:cs="Cambria" w:eastAsia="Cambria"/>
          <w:sz w:val="22"/>
        </w:rPr>
        <w:t xml:space="preserve"> procedimental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Neutralidad</w:t>
      </w:r>
      <w:r>
        <w:rPr>
          <w:rFonts w:ascii="Cambria" w:hAnsi="Cambria" w:cs="Cambria" w:eastAsia="Cambria"/>
          <w:sz w:val="22"/>
        </w:rPr>
        <w:t xml:space="preserve"> de sede y órgano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Confidencialidad</w:t>
      </w:r>
      <w:r>
        <w:rPr>
          <w:rFonts w:ascii="Cambria" w:hAnsi="Cambria" w:cs="Cambria" w:eastAsia="Cambria"/>
          <w:sz w:val="22"/>
        </w:rPr>
        <w:t>, según normativa, reglamento o pacto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Reconocimiento internacional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Árbitros</w:t>
      </w:r>
      <w:r>
        <w:rPr>
          <w:rFonts w:ascii="Cambria" w:hAnsi="Cambria" w:cs="Cambria" w:eastAsia="Cambria"/>
          <w:sz w:val="22"/>
        </w:rPr>
        <w:t>: independencia, imparcialidad e idoneidad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Deber de revelar circunstancias dudosas, posible </w:t>
      </w:r>
      <w:r>
        <w:rPr>
          <w:rFonts w:ascii="Cambria" w:hAnsi="Cambria" w:cs="Cambria" w:eastAsia="Cambria"/>
          <w:b/>
          <w:sz w:val="22"/>
        </w:rPr>
        <w:t>recusación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Igualdad, defensa y audiencia, confidencialidad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5.1. Normativa aplicable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Convención de Nueva York, 10 de junio de 1958</w:t>
      </w:r>
      <w:r>
        <w:rPr>
          <w:rFonts w:ascii="Cambria" w:hAnsi="Cambria" w:cs="Cambria" w:eastAsia="Cambria"/>
          <w:sz w:val="22"/>
        </w:rPr>
        <w:t>: reconocimiento y ejecución de sentencias arbitrales extranjeras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España adherida en </w:t>
      </w:r>
      <w:r>
        <w:rPr>
          <w:rFonts w:ascii="Cambria" w:hAnsi="Cambria" w:cs="Cambria" w:eastAsia="Cambria"/>
          <w:b/>
          <w:sz w:val="22"/>
        </w:rPr>
        <w:t>1977</w:t>
      </w:r>
      <w:r>
        <w:rPr>
          <w:rFonts w:ascii="Cambria" w:hAnsi="Cambria" w:cs="Cambria" w:eastAsia="Cambria"/>
          <w:sz w:val="22"/>
        </w:rPr>
        <w:t xml:space="preserve">, </w:t>
      </w:r>
      <w:r>
        <w:rPr>
          <w:rFonts w:ascii="Cambria" w:hAnsi="Cambria" w:cs="Cambria" w:eastAsia="Cambria"/>
          <w:b/>
          <w:sz w:val="22"/>
        </w:rPr>
        <w:t>sin reservas</w:t>
      </w:r>
      <w:r>
        <w:rPr>
          <w:rFonts w:ascii="Cambria" w:hAnsi="Cambria" w:cs="Cambria" w:eastAsia="Cambria"/>
          <w:sz w:val="22"/>
        </w:rPr>
        <w:t>: se aplica a laudos de cualquier Estado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Obliga a reconocer fuerza vinculante y permitir la ejecución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Causas tasadas</w:t>
      </w:r>
      <w:r>
        <w:rPr>
          <w:rFonts w:ascii="Cambria" w:hAnsi="Cambria" w:cs="Cambria" w:eastAsia="Cambria"/>
          <w:sz w:val="22"/>
        </w:rPr>
        <w:t xml:space="preserve"> de denegación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Convenios bilaterales</w:t>
      </w:r>
      <w:r>
        <w:rPr>
          <w:rFonts w:ascii="Cambria" w:hAnsi="Cambria" w:cs="Cambria" w:eastAsia="Cambria"/>
          <w:sz w:val="22"/>
        </w:rPr>
        <w:t xml:space="preserve"> de reconocimiento y ejecución: Italia (</w:t>
      </w:r>
      <w:r>
        <w:rPr>
          <w:rFonts w:ascii="Cambria" w:hAnsi="Cambria" w:cs="Cambria" w:eastAsia="Cambria"/>
          <w:b/>
          <w:sz w:val="22"/>
        </w:rPr>
        <w:t>1973</w:t>
      </w:r>
      <w:r>
        <w:rPr>
          <w:rFonts w:ascii="Cambria" w:hAnsi="Cambria" w:cs="Cambria" w:eastAsia="Cambria"/>
          <w:sz w:val="22"/>
        </w:rPr>
        <w:t>), Francia (</w:t>
      </w:r>
      <w:r>
        <w:rPr>
          <w:rFonts w:ascii="Cambria" w:hAnsi="Cambria" w:cs="Cambria" w:eastAsia="Cambria"/>
          <w:b/>
          <w:sz w:val="22"/>
        </w:rPr>
        <w:t>1969/1970</w:t>
      </w:r>
      <w:r>
        <w:rPr>
          <w:rFonts w:ascii="Cambria" w:hAnsi="Cambria" w:cs="Cambria" w:eastAsia="Cambria"/>
          <w:sz w:val="22"/>
        </w:rPr>
        <w:t>), Alemania (</w:t>
      </w:r>
      <w:r>
        <w:rPr>
          <w:rFonts w:ascii="Cambria" w:hAnsi="Cambria" w:cs="Cambria" w:eastAsia="Cambria"/>
          <w:b/>
          <w:sz w:val="22"/>
        </w:rPr>
        <w:t>1983</w:t>
      </w:r>
      <w:r>
        <w:rPr>
          <w:rFonts w:ascii="Cambria" w:hAnsi="Cambria" w:cs="Cambria" w:eastAsia="Cambria"/>
          <w:sz w:val="22"/>
        </w:rPr>
        <w:t>), Israel (</w:t>
      </w:r>
      <w:r>
        <w:rPr>
          <w:rFonts w:ascii="Cambria" w:hAnsi="Cambria" w:cs="Cambria" w:eastAsia="Cambria"/>
          <w:b/>
          <w:sz w:val="22"/>
        </w:rPr>
        <w:t>1989</w:t>
      </w:r>
      <w:r>
        <w:rPr>
          <w:rFonts w:ascii="Cambria" w:hAnsi="Cambria" w:cs="Cambria" w:eastAsia="Cambria"/>
          <w:sz w:val="22"/>
        </w:rPr>
        <w:t>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Entre Estados UE rige Bruselas I bis, pero al excluir el arbitraje los convenios pueden conservar relevancia para laudos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Art. VII</w:t>
      </w:r>
      <w:r>
        <w:rPr>
          <w:rFonts w:ascii="Cambria" w:hAnsi="Cambria" w:cs="Cambria" w:eastAsia="Cambria"/>
          <w:sz w:val="22"/>
        </w:rPr>
        <w:t xml:space="preserve"> Nueva York: régimen más favorable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Clasificaciones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Ad hoc</w:t>
      </w:r>
      <w:r>
        <w:rPr>
          <w:rFonts w:ascii="Cambria" w:hAnsi="Cambria" w:cs="Cambria" w:eastAsia="Cambria"/>
          <w:sz w:val="22"/>
        </w:rPr>
        <w:t>: las partes organizan procedimiento y tribunal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Institucional</w:t>
      </w:r>
      <w:r>
        <w:rPr>
          <w:rFonts w:ascii="Cambria" w:hAnsi="Cambria" w:cs="Cambria" w:eastAsia="Cambria"/>
          <w:sz w:val="22"/>
        </w:rPr>
        <w:t xml:space="preserve">: CCI, </w:t>
      </w:r>
      <w:r>
        <w:rPr>
          <w:rFonts w:ascii="Cambria" w:hAnsi="Cambria" w:cs="Cambria" w:eastAsia="Cambria"/>
          <w:b/>
          <w:sz w:val="22"/>
        </w:rPr>
        <w:t>LCIA</w:t>
      </w:r>
      <w:r>
        <w:rPr>
          <w:rFonts w:ascii="Cambria" w:hAnsi="Cambria" w:cs="Cambria" w:eastAsia="Cambria"/>
          <w:sz w:val="22"/>
        </w:rPr>
        <w:t xml:space="preserve">, </w:t>
      </w:r>
      <w:r>
        <w:rPr>
          <w:rFonts w:ascii="Cambria" w:hAnsi="Cambria" w:cs="Cambria" w:eastAsia="Cambria"/>
          <w:b/>
          <w:sz w:val="22"/>
        </w:rPr>
        <w:t>Corte Española de Arbitraje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De derecho</w:t>
      </w:r>
      <w:r>
        <w:rPr>
          <w:rFonts w:ascii="Cambria" w:hAnsi="Cambria" w:cs="Cambria" w:eastAsia="Cambria"/>
          <w:sz w:val="22"/>
        </w:rPr>
        <w:t xml:space="preserve"> o </w:t>
      </w:r>
      <w:r>
        <w:rPr>
          <w:rFonts w:ascii="Cambria" w:hAnsi="Cambria" w:cs="Cambria" w:eastAsia="Cambria"/>
          <w:b/>
          <w:sz w:val="22"/>
        </w:rPr>
        <w:t>de equidad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CIADI</w:t>
      </w:r>
      <w:r>
        <w:rPr>
          <w:rFonts w:ascii="Cambria" w:hAnsi="Cambria" w:cs="Cambria" w:eastAsia="Cambria"/>
          <w:sz w:val="22"/>
        </w:rPr>
        <w:t>: inversiones entre Estados y nacionales de otros Estados, distinto del arbitraje comercial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5.2. Fases del arbitraje internacional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Fases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Convenio arbitral (cláusula compromisoria)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Inicio: solicitud ante la institución o conforme a lo pactado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Constitución del tribunal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Fase escrita y probatoria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Audiencia oral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Laudo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Reconocimiento y ejecución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Laudo</w:t>
      </w:r>
      <w:r>
        <w:rPr>
          <w:rFonts w:ascii="Cambria" w:hAnsi="Cambria" w:cs="Cambria" w:eastAsia="Cambria"/>
          <w:sz w:val="22"/>
        </w:rPr>
        <w:t xml:space="preserve"> (</w:t>
      </w:r>
      <w:r>
        <w:rPr>
          <w:rFonts w:ascii="Cambria" w:hAnsi="Cambria" w:cs="Cambria" w:eastAsia="Cambria"/>
          <w:b/>
          <w:sz w:val="22"/>
        </w:rPr>
        <w:t>art. 43 Ley 60/2003</w:t>
      </w:r>
      <w:r>
        <w:rPr>
          <w:rFonts w:ascii="Cambria" w:hAnsi="Cambria" w:cs="Cambria" w:eastAsia="Cambria"/>
          <w:sz w:val="22"/>
        </w:rPr>
        <w:t xml:space="preserve">): </w:t>
      </w:r>
      <w:r>
        <w:rPr>
          <w:rFonts w:ascii="Cambria" w:hAnsi="Cambria" w:cs="Cambria" w:eastAsia="Cambria"/>
          <w:b/>
          <w:sz w:val="22"/>
        </w:rPr>
        <w:t>cosa juzgada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Solo cabe </w:t>
      </w:r>
      <w:r>
        <w:rPr>
          <w:rFonts w:ascii="Cambria" w:hAnsi="Cambria" w:cs="Cambria" w:eastAsia="Cambria"/>
          <w:b/>
          <w:sz w:val="22"/>
        </w:rPr>
        <w:t>acción de anulación</w:t>
      </w:r>
      <w:r>
        <w:rPr>
          <w:rFonts w:ascii="Cambria" w:hAnsi="Cambria" w:cs="Cambria" w:eastAsia="Cambria"/>
          <w:sz w:val="22"/>
        </w:rPr>
        <w:t xml:space="preserve"> y, en su caso, </w:t>
      </w:r>
      <w:r>
        <w:rPr>
          <w:rFonts w:ascii="Cambria" w:hAnsi="Cambria" w:cs="Cambria" w:eastAsia="Cambria"/>
          <w:b/>
          <w:sz w:val="22"/>
        </w:rPr>
        <w:t>revisión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Ejecutable (</w:t>
      </w:r>
      <w:r>
        <w:rPr>
          <w:rFonts w:ascii="Cambria" w:hAnsi="Cambria" w:cs="Cambria" w:eastAsia="Cambria"/>
          <w:b/>
          <w:sz w:val="22"/>
        </w:rPr>
        <w:t>arts. 44 y 45</w:t>
      </w:r>
      <w:r>
        <w:rPr>
          <w:rFonts w:ascii="Cambria" w:hAnsi="Cambria" w:cs="Cambria" w:eastAsia="Cambria"/>
          <w:sz w:val="22"/>
        </w:rPr>
        <w:t xml:space="preserve"> y </w:t>
      </w:r>
      <w:r>
        <w:rPr>
          <w:rFonts w:ascii="Cambria" w:hAnsi="Cambria" w:cs="Cambria" w:eastAsia="Cambria"/>
          <w:b/>
          <w:sz w:val="22"/>
        </w:rPr>
        <w:t>Ley 1/2000</w:t>
      </w:r>
      <w:r>
        <w:rPr>
          <w:rFonts w:ascii="Cambria" w:hAnsi="Cambria" w:cs="Cambria" w:eastAsia="Cambria"/>
          <w:sz w:val="22"/>
        </w:rPr>
        <w:t>) aunque se ejercite la anulación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El ejecutado puede pedir suspensión ofreciendo </w:t>
      </w:r>
      <w:r>
        <w:rPr>
          <w:rFonts w:ascii="Cambria" w:hAnsi="Cambria" w:cs="Cambria" w:eastAsia="Cambria"/>
          <w:b/>
          <w:sz w:val="22"/>
        </w:rPr>
        <w:t>caución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Anulación</w:t>
      </w:r>
      <w:r>
        <w:rPr>
          <w:rFonts w:ascii="Cambria" w:hAnsi="Cambria" w:cs="Cambria" w:eastAsia="Cambria"/>
          <w:sz w:val="22"/>
        </w:rPr>
        <w:t xml:space="preserve">: acción, no recurso, por </w:t>
      </w:r>
      <w:r>
        <w:rPr>
          <w:rFonts w:ascii="Cambria" w:hAnsi="Cambria" w:cs="Cambria" w:eastAsia="Cambria"/>
          <w:b/>
          <w:sz w:val="22"/>
        </w:rPr>
        <w:t>causas tasadas</w:t>
      </w:r>
      <w:r>
        <w:rPr>
          <w:rFonts w:ascii="Cambria" w:hAnsi="Cambria" w:cs="Cambria" w:eastAsia="Cambria"/>
          <w:sz w:val="22"/>
        </w:rPr>
        <w:t xml:space="preserve"> (</w:t>
      </w:r>
      <w:r>
        <w:rPr>
          <w:rFonts w:ascii="Cambria" w:hAnsi="Cambria" w:cs="Cambria" w:eastAsia="Cambria"/>
          <w:b/>
          <w:sz w:val="22"/>
        </w:rPr>
        <w:t>art. 41</w:t>
      </w:r>
      <w:r>
        <w:rPr>
          <w:rFonts w:ascii="Cambria" w:hAnsi="Cambria" w:cs="Cambria" w:eastAsia="Cambria"/>
          <w:sz w:val="22"/>
        </w:rPr>
        <w:t>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Sala Civil y Penal del TSJ</w:t>
      </w:r>
      <w:r>
        <w:rPr>
          <w:rFonts w:ascii="Cambria" w:hAnsi="Cambria" w:cs="Cambria" w:eastAsia="Cambria"/>
          <w:sz w:val="22"/>
        </w:rPr>
        <w:t xml:space="preserve"> de la comunidad donde se dictó el laudo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Plazo de </w:t>
      </w:r>
      <w:r>
        <w:rPr>
          <w:rFonts w:ascii="Cambria" w:hAnsi="Cambria" w:cs="Cambria" w:eastAsia="Cambria"/>
          <w:b/>
          <w:sz w:val="22"/>
        </w:rPr>
        <w:t>dos meses</w:t>
      </w:r>
      <w:r>
        <w:rPr>
          <w:rFonts w:ascii="Cambria" w:hAnsi="Cambria" w:cs="Cambria" w:eastAsia="Cambria"/>
          <w:sz w:val="22"/>
        </w:rPr>
        <w:t xml:space="preserve"> desde la notificación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Revisión</w:t>
      </w:r>
      <w:r>
        <w:rPr>
          <w:rFonts w:ascii="Cambria" w:hAnsi="Cambria" w:cs="Cambria" w:eastAsia="Cambria"/>
          <w:sz w:val="22"/>
        </w:rPr>
        <w:t xml:space="preserve">: como sentencias firmes, máximo </w:t>
      </w:r>
      <w:r>
        <w:rPr>
          <w:rFonts w:ascii="Cambria" w:hAnsi="Cambria" w:cs="Cambria" w:eastAsia="Cambria"/>
          <w:b/>
          <w:sz w:val="22"/>
        </w:rPr>
        <w:t>cinco años</w:t>
      </w:r>
      <w:r>
        <w:rPr>
          <w:rFonts w:ascii="Cambria" w:hAnsi="Cambria" w:cs="Cambria" w:eastAsia="Cambria"/>
          <w:sz w:val="22"/>
        </w:rPr>
        <w:t xml:space="preserve"> del laudo y </w:t>
      </w:r>
      <w:r>
        <w:rPr>
          <w:rFonts w:ascii="Cambria" w:hAnsi="Cambria" w:cs="Cambria" w:eastAsia="Cambria"/>
          <w:b/>
          <w:sz w:val="22"/>
        </w:rPr>
        <w:t>tres meses</w:t>
      </w:r>
      <w:r>
        <w:rPr>
          <w:rFonts w:ascii="Cambria" w:hAnsi="Cambria" w:cs="Cambria" w:eastAsia="Cambria"/>
          <w:sz w:val="22"/>
        </w:rPr>
        <w:t xml:space="preserve"> desde el descubrimiento de los motivos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Laudo extranjero</w:t>
      </w:r>
      <w:r>
        <w:rPr>
          <w:rFonts w:ascii="Cambria" w:hAnsi="Cambria" w:cs="Cambria" w:eastAsia="Cambria"/>
          <w:sz w:val="22"/>
        </w:rPr>
        <w:t xml:space="preserve"> (</w:t>
      </w:r>
      <w:r>
        <w:rPr>
          <w:rFonts w:ascii="Cambria" w:hAnsi="Cambria" w:cs="Cambria" w:eastAsia="Cambria"/>
          <w:b/>
          <w:sz w:val="22"/>
        </w:rPr>
        <w:t>art. 46</w:t>
      </w:r>
      <w:r>
        <w:rPr>
          <w:rFonts w:ascii="Cambria" w:hAnsi="Cambria" w:cs="Cambria" w:eastAsia="Cambria"/>
          <w:sz w:val="22"/>
        </w:rPr>
        <w:t>): pronunciado fuera de España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Exequátur</w:t>
      </w:r>
      <w:r>
        <w:rPr>
          <w:rFonts w:ascii="Cambria" w:hAnsi="Cambria" w:cs="Cambria" w:eastAsia="Cambria"/>
          <w:sz w:val="22"/>
        </w:rPr>
        <w:t xml:space="preserve"> ante la Sala Civil y Penal del TSJ (</w:t>
      </w:r>
      <w:r>
        <w:rPr>
          <w:rFonts w:ascii="Cambria" w:hAnsi="Cambria" w:cs="Cambria" w:eastAsia="Cambria"/>
          <w:b/>
          <w:sz w:val="22"/>
        </w:rPr>
        <w:t>art. 8.6</w:t>
      </w:r>
      <w:r>
        <w:rPr>
          <w:rFonts w:ascii="Cambria" w:hAnsi="Cambria" w:cs="Cambria" w:eastAsia="Cambria"/>
          <w:sz w:val="22"/>
        </w:rPr>
        <w:t>), según Nueva York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Denegación a instancia de parte (</w:t>
      </w:r>
      <w:r>
        <w:rPr>
          <w:rFonts w:ascii="Cambria" w:hAnsi="Cambria" w:cs="Cambria" w:eastAsia="Cambria"/>
          <w:b/>
          <w:sz w:val="22"/>
        </w:rPr>
        <w:t>art. V</w:t>
      </w:r>
      <w:r>
        <w:rPr>
          <w:rFonts w:ascii="Cambria" w:hAnsi="Cambria" w:cs="Cambria" w:eastAsia="Cambria"/>
          <w:sz w:val="22"/>
        </w:rPr>
        <w:t>), que debe probarlo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sz w:val="22"/>
        </w:rPr>
        <w:t>Invalidez del convenio o incapacidad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sz w:val="22"/>
        </w:rPr>
        <w:t>Indefensión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sz w:val="22"/>
        </w:rPr>
        <w:t>Exceso del laudo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sz w:val="22"/>
        </w:rPr>
        <w:t>Irregularidad en tribunal o procedimiento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sz w:val="22"/>
        </w:rPr>
        <w:t>Laudo no obligatorio, anulado o suspendido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De oficio: materia no arbitrable u </w:t>
      </w:r>
      <w:r>
        <w:rPr>
          <w:rFonts w:ascii="Cambria" w:hAnsi="Cambria" w:cs="Cambria" w:eastAsia="Cambria"/>
          <w:b/>
          <w:sz w:val="22"/>
        </w:rPr>
        <w:t>orden público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Ejecución: </w:t>
      </w:r>
      <w:r>
        <w:rPr>
          <w:rFonts w:ascii="Cambria" w:hAnsi="Cambria" w:cs="Cambria" w:eastAsia="Cambria"/>
          <w:b/>
          <w:sz w:val="22"/>
        </w:rPr>
        <w:t>Juzgado de Primera Instancia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Arbitraje y mediación</w:t>
      </w:r>
      <w:r>
        <w:rPr>
          <w:rFonts w:ascii="Cambria" w:hAnsi="Cambria" w:cs="Cambria" w:eastAsia="Cambria"/>
          <w:sz w:val="22"/>
        </w:rPr>
        <w:t>: el mediador no impone solución, el tribunal arbitral resuelve con laudo vinculante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Cláusulas escalonadas</w:t>
      </w:r>
      <w:r>
        <w:rPr>
          <w:rFonts w:ascii="Cambria" w:hAnsi="Cambria" w:cs="Cambria" w:eastAsia="Cambria"/>
          <w:sz w:val="22"/>
        </w:rPr>
        <w:t>: negociación o mediación primero, arbitraje después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5.3. El arbitraje en España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Ley 60/2003, de Arbitraje</w:t>
      </w:r>
      <w:r>
        <w:rPr>
          <w:rFonts w:ascii="Cambria" w:hAnsi="Cambria" w:cs="Cambria" w:eastAsia="Cambria"/>
          <w:sz w:val="22"/>
        </w:rPr>
        <w:t xml:space="preserve">: inspirada en </w:t>
      </w:r>
      <w:r>
        <w:rPr>
          <w:rFonts w:ascii="Cambria" w:hAnsi="Cambria" w:cs="Cambria" w:eastAsia="Cambria"/>
          <w:b/>
          <w:sz w:val="22"/>
        </w:rPr>
        <w:t>Ley Modelo CNUDMI 1985</w:t>
      </w:r>
      <w:r>
        <w:rPr>
          <w:rFonts w:ascii="Cambria" w:hAnsi="Cambria" w:cs="Cambria" w:eastAsia="Cambria"/>
          <w:sz w:val="22"/>
        </w:rPr>
        <w:t xml:space="preserve">, enmendada en 2006, reformada por </w:t>
      </w:r>
      <w:r>
        <w:rPr>
          <w:rFonts w:ascii="Cambria" w:hAnsi="Cambria" w:cs="Cambria" w:eastAsia="Cambria"/>
          <w:b/>
          <w:sz w:val="22"/>
        </w:rPr>
        <w:t>Ley 11/2011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Los </w:t>
      </w:r>
      <w:r>
        <w:rPr>
          <w:rFonts w:ascii="Cambria" w:hAnsi="Cambria" w:cs="Cambria" w:eastAsia="Cambria"/>
          <w:b/>
          <w:sz w:val="22"/>
        </w:rPr>
        <w:t>TSJ</w:t>
      </w:r>
      <w:r>
        <w:rPr>
          <w:rFonts w:ascii="Cambria" w:hAnsi="Cambria" w:cs="Cambria" w:eastAsia="Cambria"/>
          <w:sz w:val="22"/>
        </w:rPr>
        <w:t xml:space="preserve"> asumen anulación y exequátur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Arbitrables: materias de </w:t>
      </w:r>
      <w:r>
        <w:rPr>
          <w:rFonts w:ascii="Cambria" w:hAnsi="Cambria" w:cs="Cambria" w:eastAsia="Cambria"/>
          <w:b/>
          <w:sz w:val="22"/>
        </w:rPr>
        <w:t>libre disposición</w:t>
      </w:r>
      <w:r>
        <w:rPr>
          <w:rFonts w:ascii="Cambria" w:hAnsi="Cambria" w:cs="Cambria" w:eastAsia="Cambria"/>
          <w:sz w:val="22"/>
        </w:rPr>
        <w:t xml:space="preserve"> (</w:t>
      </w:r>
      <w:r>
        <w:rPr>
          <w:rFonts w:ascii="Cambria" w:hAnsi="Cambria" w:cs="Cambria" w:eastAsia="Cambria"/>
          <w:b/>
          <w:sz w:val="22"/>
        </w:rPr>
        <w:t>art. 2</w:t>
      </w:r>
      <w:r>
        <w:rPr>
          <w:rFonts w:ascii="Cambria" w:hAnsi="Cambria" w:cs="Cambria" w:eastAsia="Cambria"/>
          <w:sz w:val="22"/>
        </w:rPr>
        <w:t>)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Regula convenio, árbitros, procedimiento, laudo, anulación, ejecución y laudos extranjeros (remite a Nueva York)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Corte Española de Arbitraje</w:t>
      </w:r>
      <w:r>
        <w:rPr>
          <w:rFonts w:ascii="Cambria" w:hAnsi="Cambria" w:cs="Cambria" w:eastAsia="Cambria"/>
          <w:sz w:val="22"/>
        </w:rPr>
        <w:t>, vinculada a la Cámara de Comercio de España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Centro Internacional de Arbitraje de Madrid (CIAM)</w:t>
      </w:r>
      <w:r>
        <w:rPr>
          <w:rFonts w:ascii="Cambria" w:hAnsi="Cambria" w:cs="Cambria" w:eastAsia="Cambria"/>
          <w:sz w:val="22"/>
        </w:rPr>
        <w:t>, para arbitrajes internacionales</w:t>
      </w:r>
    </w:p>
    <w:p>
      <w:pPr>
        <w:pStyle w:val="Heading1"/>
      </w:pPr>
      <w:r>
        <w:rPr>
          <w:rFonts w:ascii="Cambria" w:hAnsi="Cambria" w:cs="Cambria" w:eastAsia="Cambria"/>
          <w:b/>
          <w:color w:val="0F4761"/>
          <w:sz w:val="28"/>
        </w:rPr>
        <w:t>6. CONCLUSIÓN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Prever mecanismos ante incumplimiento y resolver controversias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Prevención contractual, ley aplicable y mecanismos pactados, incluido el arbitraje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Viena 1980</w:t>
      </w:r>
      <w:r>
        <w:rPr>
          <w:rFonts w:ascii="Cambria" w:hAnsi="Cambria" w:cs="Cambria" w:eastAsia="Cambria"/>
          <w:sz w:val="22"/>
        </w:rPr>
        <w:t xml:space="preserve"> (regulación uniforme) y </w:t>
      </w:r>
      <w:r>
        <w:rPr>
          <w:rFonts w:ascii="Cambria" w:hAnsi="Cambria" w:cs="Cambria" w:eastAsia="Cambria"/>
          <w:b/>
          <w:sz w:val="22"/>
        </w:rPr>
        <w:t>Nueva York 1958</w:t>
      </w:r>
      <w:r>
        <w:rPr>
          <w:rFonts w:ascii="Cambria" w:hAnsi="Cambria" w:cs="Cambria" w:eastAsia="Cambria"/>
          <w:sz w:val="22"/>
        </w:rPr>
        <w:t xml:space="preserve"> (ejecución de laudos)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Arbitraje comercial</w:t>
      </w:r>
      <w:r>
        <w:rPr>
          <w:rFonts w:ascii="Cambria" w:hAnsi="Cambria" w:cs="Cambria" w:eastAsia="Cambria"/>
          <w:sz w:val="22"/>
        </w:rPr>
        <w:t xml:space="preserve"> frente a </w:t>
      </w:r>
      <w:r>
        <w:rPr>
          <w:rFonts w:ascii="Cambria" w:hAnsi="Cambria" w:cs="Cambria" w:eastAsia="Cambria"/>
          <w:b/>
          <w:sz w:val="22"/>
        </w:rPr>
        <w:t>arbitraje de inversiones</w:t>
      </w:r>
      <w:r>
        <w:rPr>
          <w:rFonts w:ascii="Cambria" w:hAnsi="Cambria" w:cs="Cambria" w:eastAsia="Cambria"/>
          <w:sz w:val="22"/>
        </w:rPr>
        <w:t xml:space="preserve"> (inversores y Estados)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Tratado sobre la Carta de la Energía</w:t>
      </w:r>
      <w:r>
        <w:rPr>
          <w:rFonts w:ascii="Cambria" w:hAnsi="Cambria" w:cs="Cambria" w:eastAsia="Cambria"/>
          <w:sz w:val="22"/>
        </w:rPr>
        <w:t xml:space="preserve">: denuncia de España desde el </w:t>
      </w:r>
      <w:r>
        <w:rPr>
          <w:rFonts w:ascii="Cambria" w:hAnsi="Cambria" w:cs="Cambria" w:eastAsia="Cambria"/>
          <w:b/>
          <w:sz w:val="22"/>
        </w:rPr>
        <w:t>17 de abril de 2025</w:t>
      </w:r>
      <w:r>
        <w:rPr>
          <w:rFonts w:ascii="Cambria" w:hAnsi="Cambria" w:cs="Cambria" w:eastAsia="Cambria"/>
          <w:sz w:val="22"/>
        </w:rPr>
        <w:t xml:space="preserve"> y de la UE desde el </w:t>
      </w:r>
      <w:r>
        <w:rPr>
          <w:rFonts w:ascii="Cambria" w:hAnsi="Cambria" w:cs="Cambria" w:eastAsia="Cambria"/>
          <w:b/>
          <w:sz w:val="22"/>
        </w:rPr>
        <w:t>28 de junio de 2025</w:t>
      </w:r>
      <w:r>
        <w:rPr>
          <w:rFonts w:ascii="Cambria" w:hAnsi="Cambria" w:cs="Cambria" w:eastAsia="Cambria"/>
          <w:sz w:val="22"/>
        </w:rPr>
        <w:t xml:space="preserve">, supervivencia de </w:t>
      </w:r>
      <w:r>
        <w:rPr>
          <w:rFonts w:ascii="Cambria" w:hAnsi="Cambria" w:cs="Cambria" w:eastAsia="Cambria"/>
          <w:b/>
          <w:sz w:val="22"/>
        </w:rPr>
        <w:t>veinte años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TJUE: </w:t>
      </w:r>
      <w:r>
        <w:rPr>
          <w:rFonts w:ascii="Cambria" w:hAnsi="Cambria" w:cs="Cambria" w:eastAsia="Cambria"/>
          <w:b/>
          <w:sz w:val="22"/>
        </w:rPr>
        <w:t>Achmea (2018)</w:t>
      </w:r>
      <w:r>
        <w:rPr>
          <w:rFonts w:ascii="Cambria" w:hAnsi="Cambria" w:cs="Cambria" w:eastAsia="Cambria"/>
          <w:sz w:val="22"/>
        </w:rPr>
        <w:t xml:space="preserve"> y </w:t>
      </w:r>
      <w:r>
        <w:rPr>
          <w:rFonts w:ascii="Cambria" w:hAnsi="Cambria" w:cs="Cambria" w:eastAsia="Cambria"/>
          <w:b/>
          <w:sz w:val="22"/>
        </w:rPr>
        <w:t>Komstroy (2021)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Un laudo favorable no elimina las dificultades de ejecución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417" w:right="1701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mbria" w:hAnsi="Cambria" w:cs="Cambria" w:eastAsia="Cambria"/>
        <w:color w:val="595959"/>
        <w:sz w:val="18"/>
      </w:rPr>
      <w:fldChar w:fldCharType="begin"/>
    </w:r>
    <w:r>
      <w:rPr>
        <w:rFonts w:ascii="Cambria" w:hAnsi="Cambria" w:cs="Cambria" w:eastAsia="Cambria"/>
        <w:color w:val="595959"/>
        <w:sz w:val="18"/>
      </w:rPr>
      <w:instrText xml:space="preserve">PAGE</w:instrText>
    </w:r>
    <w:r>
      <w:rPr>
        <w:rFonts w:ascii="Cambria" w:hAnsi="Cambria" w:cs="Cambria" w:eastAsia="Cambria"/>
        <w:color w:val="595959"/>
        <w:sz w:val="18"/>
      </w:rP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240"/>
      <w:jc w:val="both"/>
    </w:pPr>
    <w:r>
      <w:rPr>
        <w:rFonts w:ascii="Cambria" w:hAnsi="Cambria" w:cs="Cambria" w:eastAsia="Cambria"/>
        <w:b/>
        <w:i/>
        <w:color w:val="595959"/>
        <w:sz w:val="18"/>
      </w:rPr>
      <w:t>TEMA 17 – Contratación internacional (II): Incumplimiento y resolución de conflictos.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mbria" w:hAnsi="Cambria" w:eastAsia="Cambria"/>
      <w:sz w:val="22"/>
      <w:lang w:val="es-ES" w:eastAsia="es-ES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/>
      <w:outlineLvl w:val="0"/>
    </w:pPr>
    <w:rPr>
      <w:rFonts w:asciiTheme="majorHAnsi" w:eastAsiaTheme="majorEastAsia" w:hAnsiTheme="majorHAnsi" w:cstheme="majorBidi" w:ascii="Cambria" w:hAnsi="Cambria" w:eastAsia="Cambria"/>
      <w:b/>
      <w:bCs/>
      <w:color w:val="0F476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/>
      <w:outlineLvl w:val="1"/>
    </w:pPr>
    <w:rPr>
      <w:rFonts w:asciiTheme="majorHAnsi" w:eastAsiaTheme="majorEastAsia" w:hAnsiTheme="majorHAnsi" w:cstheme="majorBidi" w:ascii="Cambria" w:hAnsi="Cambria" w:eastAsia="Cambria"/>
      <w:b/>
      <w:bCs/>
      <w:color w:val="0F476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40"/>
      <w:contextualSpacing/>
    </w:pPr>
    <w:rPr>
      <w:rFonts w:ascii="Cambria" w:hAnsi="Cambria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spacing w:after="40"/>
      <w:contextualSpacing/>
    </w:pPr>
    <w:rPr>
      <w:rFonts w:ascii="Cambria" w:hAnsi="Cambria"/>
      <w:sz w:val="22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spacing w:after="40"/>
      <w:contextualSpacing/>
    </w:pPr>
    <w:rPr>
      <w:rFonts w:ascii="Cambria" w:hAnsi="Cambria"/>
      <w:sz w:val="22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TEMA 17 – Contratación internacional (II): Incumplimiento y resolución de conflictos.</dc:title>
  <dc:subject>Esquema del temario de oposiciones al SOIVRE</dc:subject>
  <dc:creator>Sergio Argudo Santiago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language>es-ES</dc:language>
</cp:coreProperties>
</file>