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1. INTRODUCCIÓN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Internacionalización de los mercados: comercio intra e interindustrial, mercados financieros, flujos de capital, </w:t>
      </w:r>
      <w:r>
        <w:rPr>
          <w:rFonts w:ascii="Cambria" w:hAnsi="Cambria" w:cs="Cambria" w:eastAsia="Cambria"/>
          <w:b/>
          <w:sz w:val="22"/>
        </w:rPr>
        <w:t>multinacionales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Efectos de la inversión extranjera en el receptor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Complementa el ahorro nacional, más competencia e innovación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Transferencia de tecnología y know-how, crecimiento y empleo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Alternativa al endeudamiento externo, disciplina de las políticas económicas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Marco UE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Art. 63 TFUE</w:t>
      </w:r>
      <w:r>
        <w:rPr>
          <w:rFonts w:ascii="Cambria" w:hAnsi="Cambria" w:cs="Cambria" w:eastAsia="Cambria"/>
          <w:sz w:val="22"/>
        </w:rPr>
        <w:t>, libertad de movimientos de capitales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Reglamento (UE) 2019/452</w:t>
      </w:r>
      <w:r>
        <w:rPr>
          <w:rFonts w:ascii="Cambria" w:hAnsi="Cambria" w:cs="Cambria" w:eastAsia="Cambria"/>
          <w:sz w:val="22"/>
        </w:rPr>
        <w:t>, cooperación en control de IED por seguridad u orden público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Sustituido por </w:t>
      </w:r>
      <w:r>
        <w:rPr>
          <w:rFonts w:ascii="Cambria" w:hAnsi="Cambria" w:cs="Cambria" w:eastAsia="Cambria"/>
          <w:b/>
          <w:sz w:val="22"/>
        </w:rPr>
        <w:t>Reglamento (UE) 2026/1386</w:t>
      </w:r>
      <w:r>
        <w:rPr>
          <w:rFonts w:ascii="Cambria" w:hAnsi="Cambria" w:cs="Cambria" w:eastAsia="Cambria"/>
          <w:sz w:val="22"/>
        </w:rPr>
        <w:t xml:space="preserve">, aplicación general desde el </w:t>
      </w:r>
      <w:r>
        <w:rPr>
          <w:rFonts w:ascii="Cambria" w:hAnsi="Cambria" w:cs="Cambria" w:eastAsia="Cambria"/>
          <w:b/>
          <w:sz w:val="22"/>
        </w:rPr>
        <w:t>17 de enero de 2028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Marco España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Ley 19/2003</w:t>
      </w:r>
      <w:r>
        <w:rPr>
          <w:rFonts w:ascii="Cambria" w:hAnsi="Cambria" w:cs="Cambria" w:eastAsia="Cambria"/>
          <w:sz w:val="22"/>
        </w:rPr>
        <w:t>, movimientos de capitales y transacciones económicas con el exterior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Ley 18/1992</w:t>
      </w:r>
      <w:r>
        <w:rPr>
          <w:rFonts w:ascii="Cambria" w:hAnsi="Cambria" w:cs="Cambria" w:eastAsia="Cambria"/>
          <w:sz w:val="22"/>
        </w:rPr>
        <w:t>, vigente solo en sectores con regulación específica (defensa nacional)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Real Decreto 571/2023</w:t>
      </w:r>
      <w:r>
        <w:rPr>
          <w:rFonts w:ascii="Cambria" w:hAnsi="Cambria" w:cs="Cambria" w:eastAsia="Cambria"/>
          <w:sz w:val="22"/>
        </w:rPr>
        <w:t>, inversiones exteriores (sustituyó al Real Decreto 664/1999)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Orden ECM/57/2024</w:t>
      </w:r>
      <w:r>
        <w:rPr>
          <w:rFonts w:ascii="Cambria" w:hAnsi="Cambria" w:cs="Cambria" w:eastAsia="Cambria"/>
          <w:sz w:val="22"/>
        </w:rPr>
        <w:t>, procedimientos de declaración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Esquema: características y tipos, flujos mundiales, efectos, acuerdos internacionales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2. INVERSIONES EXTRANJERAS: INVERSIÓN DIRECTA Y EN VALORES NEGOCIABLES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2.1. Características generales de las inversiones extranjeras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Principio general: </w:t>
      </w:r>
      <w:r>
        <w:rPr>
          <w:rFonts w:ascii="Cambria" w:hAnsi="Cambria" w:cs="Cambria" w:eastAsia="Cambria"/>
          <w:b/>
          <w:sz w:val="22"/>
        </w:rPr>
        <w:t>libertad</w:t>
      </w:r>
      <w:r>
        <w:rPr>
          <w:rFonts w:ascii="Cambria" w:hAnsi="Cambria" w:cs="Cambria" w:eastAsia="Cambria"/>
          <w:sz w:val="22"/>
        </w:rPr>
        <w:t xml:space="preserve"> de movimientos de capitales e inversiones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Excepciones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Sectores con regulación específica (defensa)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Suspensión de la liberalización y </w:t>
      </w:r>
      <w:r>
        <w:rPr>
          <w:rFonts w:ascii="Cambria" w:hAnsi="Cambria" w:cs="Cambria" w:eastAsia="Cambria"/>
          <w:b/>
          <w:sz w:val="22"/>
        </w:rPr>
        <w:t>autorización previa</w:t>
      </w:r>
      <w:r>
        <w:rPr>
          <w:rFonts w:ascii="Cambria" w:hAnsi="Cambria" w:cs="Cambria" w:eastAsia="Cambria"/>
          <w:sz w:val="22"/>
        </w:rPr>
        <w:t xml:space="preserve"> de IED que afecte a seguridad, orden o salud públicos (Ley 19/2003 y Real Decreto 571/2023)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Complemento del marco europeo (Reglamentos 2019/452 y 2026/1386)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Titulares: no residentes en España, residentes para inversiones españolas en el exterior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Declaración</w:t>
      </w:r>
      <w:r>
        <w:rPr>
          <w:rFonts w:ascii="Cambria" w:hAnsi="Cambria" w:cs="Cambria" w:eastAsia="Cambria"/>
          <w:sz w:val="22"/>
        </w:rPr>
        <w:t xml:space="preserve"> de inversiones directas y desinversiones al </w:t>
      </w:r>
      <w:r>
        <w:rPr>
          <w:rFonts w:ascii="Cambria" w:hAnsi="Cambria" w:cs="Cambria" w:eastAsia="Cambria"/>
          <w:b/>
          <w:sz w:val="22"/>
        </w:rPr>
        <w:t>Registro de Inversiones</w:t>
      </w:r>
      <w:r>
        <w:rPr>
          <w:rFonts w:ascii="Cambria" w:hAnsi="Cambria" w:cs="Cambria" w:eastAsia="Cambria"/>
          <w:sz w:val="22"/>
        </w:rPr>
        <w:t>, con carácter posterior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Real Decreto 571/2023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Actualiza supuestos y umbrales según estándares internacionales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Elimina la declaración de ciertas inversiones en valores sin participación relevante ni influencia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Excepción: inversiones con origen en </w:t>
      </w:r>
      <w:r>
        <w:rPr>
          <w:rFonts w:ascii="Cambria" w:hAnsi="Cambria" w:cs="Cambria" w:eastAsia="Cambria"/>
          <w:b/>
          <w:sz w:val="22"/>
        </w:rPr>
        <w:t>jurisdicciones no cooperativas</w:t>
      </w:r>
      <w:r>
        <w:rPr>
          <w:rFonts w:ascii="Cambria" w:hAnsi="Cambria" w:cs="Cambria" w:eastAsia="Cambria"/>
          <w:sz w:val="22"/>
        </w:rPr>
        <w:t>, declaración previa y reglas específicas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2.2. Tipos de inversiones extranjeras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IED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Relación duradera e influencia significativa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Referencia: participación </w:t>
      </w:r>
      <w:r>
        <w:rPr>
          <w:rFonts w:ascii="Cambria" w:hAnsi="Cambria" w:cs="Cambria" w:eastAsia="Cambria"/>
          <w:b/>
          <w:sz w:val="22"/>
        </w:rPr>
        <w:t>igual o superior al 10 %</w:t>
      </w:r>
      <w:r>
        <w:rPr>
          <w:rFonts w:ascii="Cambria" w:hAnsi="Cambria" w:cs="Cambria" w:eastAsia="Cambria"/>
          <w:sz w:val="22"/>
        </w:rPr>
        <w:t xml:space="preserve"> del capital o derechos de voto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Real Decreto 571/2023 incluye aportaciones de socios y financiación intragrupo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Inversión de cartera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Valores sin ese grado de participación ni influencia o control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Menores obligaciones de declaración estadística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Forma de entrada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Greenfield</w:t>
      </w:r>
      <w:r>
        <w:rPr>
          <w:rFonts w:ascii="Cambria" w:hAnsi="Cambria" w:cs="Cambria" w:eastAsia="Cambria"/>
          <w:sz w:val="22"/>
        </w:rPr>
        <w:t>, nuevas instalaciones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Brownfield</w:t>
      </w:r>
      <w:r>
        <w:rPr>
          <w:rFonts w:ascii="Cambria" w:hAnsi="Cambria" w:cs="Cambria" w:eastAsia="Cambria"/>
          <w:sz w:val="22"/>
        </w:rPr>
        <w:t>, fusiones y adquisiciones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Relación con la matriz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Horizontal</w:t>
      </w:r>
      <w:r>
        <w:rPr>
          <w:rFonts w:ascii="Cambria" w:hAnsi="Cambria" w:cs="Cambria" w:eastAsia="Cambria"/>
          <w:sz w:val="22"/>
        </w:rPr>
        <w:t>, replica la actividad para el mercado local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Vertical</w:t>
      </w:r>
      <w:r>
        <w:rPr>
          <w:rFonts w:ascii="Cambria" w:hAnsi="Cambria" w:cs="Cambria" w:eastAsia="Cambria"/>
          <w:sz w:val="22"/>
        </w:rPr>
        <w:t>, fragmenta fases de la cadena productiva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2.3. Control de la inversiones extranjeras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Escudo antiopas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Art. 7 bis Ley 19/2003 (Real Decreto-ley 8/2020), desarrollado por Real Decreto 571/2023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Autorización previa</w:t>
      </w:r>
      <w:r>
        <w:rPr>
          <w:rFonts w:ascii="Cambria" w:hAnsi="Cambria" w:cs="Cambria" w:eastAsia="Cambria"/>
          <w:sz w:val="22"/>
        </w:rPr>
        <w:t xml:space="preserve"> de IED de residentes fuera de UE y AELC en sectores estratégicos o con incidencia en seguridad, orden o salud públicos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Régimen transitorio para residentes UE y AELC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Real Decreto-ley 34/2020, prorrogado por Real Decreto-ley 1/2025 hasta el </w:t>
      </w:r>
      <w:r>
        <w:rPr>
          <w:rFonts w:ascii="Cambria" w:hAnsi="Cambria" w:cs="Cambria" w:eastAsia="Cambria"/>
          <w:b/>
          <w:sz w:val="22"/>
        </w:rPr>
        <w:t>31 de diciembre de 2026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Sociedades cotizadas o no cotizadas con inversión superior a </w:t>
      </w:r>
      <w:r>
        <w:rPr>
          <w:rFonts w:ascii="Cambria" w:hAnsi="Cambria" w:cs="Cambria" w:eastAsia="Cambria"/>
          <w:b/>
          <w:sz w:val="22"/>
        </w:rPr>
        <w:t>500 M€</w:t>
      </w:r>
      <w:r>
        <w:rPr>
          <w:rFonts w:ascii="Cambria" w:hAnsi="Cambria" w:cs="Cambria" w:eastAsia="Cambria"/>
          <w:sz w:val="22"/>
        </w:rPr>
        <w:t xml:space="preserve"> y requisitos sectoriales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Continuidad desde 2027 depende de nueva prórroga y adaptación al Reglamento europeo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Datos 2025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130</w:t>
      </w:r>
      <w:r>
        <w:rPr>
          <w:rFonts w:ascii="Cambria" w:hAnsi="Cambria" w:cs="Cambria" w:eastAsia="Cambria"/>
          <w:sz w:val="22"/>
        </w:rPr>
        <w:t xml:space="preserve"> operaciones analizadas, </w:t>
      </w:r>
      <w:r>
        <w:rPr>
          <w:rFonts w:ascii="Cambria" w:hAnsi="Cambria" w:cs="Cambria" w:eastAsia="Cambria"/>
          <w:b/>
          <w:sz w:val="22"/>
        </w:rPr>
        <w:t>116</w:t>
      </w:r>
      <w:r>
        <w:rPr>
          <w:rFonts w:ascii="Cambria" w:hAnsi="Cambria" w:cs="Cambria" w:eastAsia="Cambria"/>
          <w:sz w:val="22"/>
        </w:rPr>
        <w:t xml:space="preserve"> sin condiciones, </w:t>
      </w:r>
      <w:r>
        <w:rPr>
          <w:rFonts w:ascii="Cambria" w:hAnsi="Cambria" w:cs="Cambria" w:eastAsia="Cambria"/>
          <w:b/>
          <w:sz w:val="22"/>
        </w:rPr>
        <w:t>14</w:t>
      </w:r>
      <w:r>
        <w:rPr>
          <w:rFonts w:ascii="Cambria" w:hAnsi="Cambria" w:cs="Cambria" w:eastAsia="Cambria"/>
          <w:sz w:val="22"/>
        </w:rPr>
        <w:t xml:space="preserve"> con compromisos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80 %</w:t>
      </w:r>
      <w:r>
        <w:rPr>
          <w:rFonts w:ascii="Cambria" w:hAnsi="Cambria" w:cs="Cambria" w:eastAsia="Cambria"/>
          <w:sz w:val="22"/>
        </w:rPr>
        <w:t xml:space="preserve"> de inversores últimos fuera de UE y AELC (EEUU, Reino Unido, Emiratos Árabes Unidos)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3. ANÁLISIS DE LOS FLUJOS MUNDIALES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Fuente: </w:t>
      </w:r>
      <w:r>
        <w:rPr>
          <w:rFonts w:ascii="Cambria" w:hAnsi="Cambria" w:cs="Cambria" w:eastAsia="Cambria"/>
          <w:b/>
          <w:sz w:val="22"/>
        </w:rPr>
        <w:t>World Investment Report 2026</w:t>
      </w:r>
      <w:r>
        <w:rPr>
          <w:rFonts w:ascii="Cambria" w:hAnsi="Cambria" w:cs="Cambria" w:eastAsia="Cambria"/>
          <w:sz w:val="22"/>
        </w:rPr>
        <w:t>, UNCTAD, julio de 2026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IED mundial 2025: </w:t>
      </w:r>
      <w:r>
        <w:rPr>
          <w:rFonts w:ascii="Cambria" w:hAnsi="Cambria" w:cs="Cambria" w:eastAsia="Cambria"/>
          <w:b/>
          <w:sz w:val="22"/>
        </w:rPr>
        <w:t>+6 %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1,6 billones de dólares</w:t>
      </w:r>
      <w:r>
        <w:rPr>
          <w:rFonts w:ascii="Cambria" w:hAnsi="Cambria" w:cs="Cambria" w:eastAsia="Cambria"/>
          <w:sz w:val="22"/>
        </w:rPr>
        <w:t>, repunte frágil y desigual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Fin de dos años de descenso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Parte ligada a flujos de tránsito por centros financieros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20 principales receptores, más del </w:t>
      </w:r>
      <w:r>
        <w:rPr>
          <w:rFonts w:ascii="Cambria" w:hAnsi="Cambria" w:cs="Cambria" w:eastAsia="Cambria"/>
          <w:b/>
          <w:sz w:val="22"/>
        </w:rPr>
        <w:t>80 %</w:t>
      </w:r>
      <w:r>
        <w:rPr>
          <w:rFonts w:ascii="Cambria" w:hAnsi="Cambria" w:cs="Cambria" w:eastAsia="Cambria"/>
          <w:sz w:val="22"/>
        </w:rPr>
        <w:t xml:space="preserve"> de las entradas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Indicadores de proyecto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Fusiones y adquisiciones transfronterizas </w:t>
      </w:r>
      <w:r>
        <w:rPr>
          <w:rFonts w:ascii="Cambria" w:hAnsi="Cambria" w:cs="Cambria" w:eastAsia="Cambria"/>
          <w:b/>
          <w:sz w:val="22"/>
        </w:rPr>
        <w:t>-7 %</w:t>
      </w:r>
      <w:r>
        <w:rPr>
          <w:rFonts w:ascii="Cambria" w:hAnsi="Cambria" w:cs="Cambria" w:eastAsia="Cambria"/>
          <w:sz w:val="22"/>
        </w:rPr>
        <w:t xml:space="preserve"> (421.000 millones)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Greenfield anunciado </w:t>
      </w:r>
      <w:r>
        <w:rPr>
          <w:rFonts w:ascii="Cambria" w:hAnsi="Cambria" w:cs="Cambria" w:eastAsia="Cambria"/>
          <w:b/>
          <w:sz w:val="22"/>
        </w:rPr>
        <w:t>+1 %</w:t>
      </w:r>
      <w:r>
        <w:rPr>
          <w:rFonts w:ascii="Cambria" w:hAnsi="Cambria" w:cs="Cambria" w:eastAsia="Cambria"/>
          <w:sz w:val="22"/>
        </w:rPr>
        <w:t xml:space="preserve"> (1,39 billones), número </w:t>
      </w:r>
      <w:r>
        <w:rPr>
          <w:rFonts w:ascii="Cambria" w:hAnsi="Cambria" w:cs="Cambria" w:eastAsia="Cambria"/>
          <w:b/>
          <w:sz w:val="22"/>
        </w:rPr>
        <w:t>-10 %</w:t>
      </w:r>
      <w:r>
        <w:rPr>
          <w:rFonts w:ascii="Cambria" w:hAnsi="Cambria" w:cs="Cambria" w:eastAsia="Cambria"/>
          <w:sz w:val="22"/>
        </w:rPr>
        <w:t>, por centros de datos, petróleo y gas, semiconductores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Financiación de proyectos </w:t>
      </w:r>
      <w:r>
        <w:rPr>
          <w:rFonts w:ascii="Cambria" w:hAnsi="Cambria" w:cs="Cambria" w:eastAsia="Cambria"/>
          <w:b/>
          <w:sz w:val="22"/>
        </w:rPr>
        <w:t>+3 %</w:t>
      </w:r>
      <w:r>
        <w:rPr>
          <w:rFonts w:ascii="Cambria" w:hAnsi="Cambria" w:cs="Cambria" w:eastAsia="Cambria"/>
          <w:sz w:val="22"/>
        </w:rPr>
        <w:t xml:space="preserve"> (1,18 billones), 25 % bajo máximo de 2021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Regiones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Desarrolladas </w:t>
      </w:r>
      <w:r>
        <w:rPr>
          <w:rFonts w:ascii="Cambria" w:hAnsi="Cambria" w:cs="Cambria" w:eastAsia="Cambria"/>
          <w:b/>
          <w:sz w:val="22"/>
        </w:rPr>
        <w:t>+11 %</w:t>
      </w:r>
      <w:r>
        <w:rPr>
          <w:rFonts w:ascii="Cambria" w:hAnsi="Cambria" w:cs="Cambria" w:eastAsia="Cambria"/>
          <w:sz w:val="22"/>
        </w:rPr>
        <w:t xml:space="preserve"> (723.000 millones)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Europa 285.000 millones (+39 %), tránsito y fusiones en Francia y Alemania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América del Norte 344.000 millones (-2 %)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En desarrollo </w:t>
      </w:r>
      <w:r>
        <w:rPr>
          <w:rFonts w:ascii="Cambria" w:hAnsi="Cambria" w:cs="Cambria" w:eastAsia="Cambria"/>
          <w:b/>
          <w:sz w:val="22"/>
        </w:rPr>
        <w:t>+2 %</w:t>
      </w:r>
      <w:r>
        <w:rPr>
          <w:rFonts w:ascii="Cambria" w:hAnsi="Cambria" w:cs="Cambria" w:eastAsia="Cambria"/>
          <w:sz w:val="22"/>
        </w:rPr>
        <w:t xml:space="preserve"> (901.000 millones)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Asia en desarrollo 644.000 millones (+3 %), Sudeste Asiático primera subregión, India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América Latina y Caribe 188.000 millones (+14 %), Brasil, 95 % en diez receptores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África cerca de 70.000 millones, tras 94.000 millones en 2024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Países menos adelantados +21 %, 43.000 millones (2,7 % del total)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Sectores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Infraestructura digital: greenfield </w:t>
      </w:r>
      <w:r>
        <w:rPr>
          <w:rFonts w:ascii="Cambria" w:hAnsi="Cambria" w:cs="Cambria" w:eastAsia="Cambria"/>
          <w:b/>
          <w:sz w:val="22"/>
        </w:rPr>
        <w:t>+80 %</w:t>
      </w:r>
      <w:r>
        <w:rPr>
          <w:rFonts w:ascii="Cambria" w:hAnsi="Cambria" w:cs="Cambria" w:eastAsia="Cambria"/>
          <w:sz w:val="22"/>
        </w:rPr>
        <w:t>, centros de datos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Retroceso de renovables y manufacturas en cadenas globales (-13 %)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Sectores estratégicos (IA, semiconductores, minerales críticos, transición energética): del </w:t>
      </w:r>
      <w:r>
        <w:rPr>
          <w:rFonts w:ascii="Cambria" w:hAnsi="Cambria" w:cs="Cambria" w:eastAsia="Cambria"/>
          <w:b/>
          <w:sz w:val="22"/>
        </w:rPr>
        <w:t>16 % al 44 %</w:t>
      </w:r>
      <w:r>
        <w:rPr>
          <w:rFonts w:ascii="Cambria" w:hAnsi="Cambria" w:cs="Cambria" w:eastAsia="Cambria"/>
          <w:sz w:val="22"/>
        </w:rPr>
        <w:t xml:space="preserve"> del greenfield desde 2020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Mayor concentración de inversores y receptores, países de renta baja y media-baja captan en torno al 10 %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Regulación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Récord de </w:t>
      </w:r>
      <w:r>
        <w:rPr>
          <w:rFonts w:ascii="Cambria" w:hAnsi="Cambria" w:cs="Cambria" w:eastAsia="Cambria"/>
          <w:b/>
          <w:sz w:val="22"/>
        </w:rPr>
        <w:t>229</w:t>
      </w:r>
      <w:r>
        <w:rPr>
          <w:rFonts w:ascii="Cambria" w:hAnsi="Cambria" w:cs="Cambria" w:eastAsia="Cambria"/>
          <w:sz w:val="22"/>
        </w:rPr>
        <w:t xml:space="preserve"> medidas nacionales en 2025, 73 % favorables, restrictivas del 19 % al 27 % desde 2016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Control por seguridad nacional en </w:t>
      </w:r>
      <w:r>
        <w:rPr>
          <w:rFonts w:ascii="Cambria" w:hAnsi="Cambria" w:cs="Cambria" w:eastAsia="Cambria"/>
          <w:b/>
          <w:sz w:val="22"/>
        </w:rPr>
        <w:t>52</w:t>
      </w:r>
      <w:r>
        <w:rPr>
          <w:rFonts w:ascii="Cambria" w:hAnsi="Cambria" w:cs="Cambria" w:eastAsia="Cambria"/>
          <w:sz w:val="22"/>
        </w:rPr>
        <w:t xml:space="preserve"> economías (21 en 2016)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44</w:t>
      </w:r>
      <w:r>
        <w:rPr>
          <w:rFonts w:ascii="Cambria" w:hAnsi="Cambria" w:cs="Cambria" w:eastAsia="Cambria"/>
          <w:sz w:val="22"/>
        </w:rPr>
        <w:t xml:space="preserve"> AII en 2025, más de 3.360 tratados, 2.661 en vigor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Arbitraje inversor-Estado: 1.463 casos acumulados, 56 nuevos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Reglamento (UE) 2026/1386</w:t>
      </w:r>
      <w:r>
        <w:rPr>
          <w:rFonts w:ascii="Cambria" w:hAnsi="Cambria" w:cs="Cambria" w:eastAsia="Cambria"/>
          <w:sz w:val="22"/>
        </w:rPr>
        <w:t>: mecanismo nacional obligatorio, ámbito sectorial mínimo, cooperación reforzada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Perspectivas 2026: muy inciertas, riesgos a la baja (crecimiento, política comercial, geopolítica)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4. EFECTOS SOBRE EL DESARROLLO ECONÓMICO Y EL COMERCIO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Deslocalización (offshoring)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Traslado total o parcial de actividad al exterior, puede ser vía IED pero no son equivalentes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Motivos: costes, nuevos mercados, proveedores o recursos, capacidades, cadenas globales de valor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Determinantes de localización: factores productivos, tamaño del mercado, estabilidad, calidad institucional, seguridad jurídica, fiscalidad, infraestructuras, financiación, recursos, cualificación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Formas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Internalizada</w:t>
      </w:r>
      <w:r>
        <w:rPr>
          <w:rFonts w:ascii="Cambria" w:hAnsi="Cambria" w:cs="Cambria" w:eastAsia="Cambria"/>
          <w:sz w:val="22"/>
        </w:rPr>
        <w:t>, cautiva, mediante filial propia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Externalizada</w:t>
      </w:r>
      <w:r>
        <w:rPr>
          <w:rFonts w:ascii="Cambria" w:hAnsi="Cambria" w:cs="Cambria" w:eastAsia="Cambria"/>
          <w:sz w:val="22"/>
        </w:rPr>
        <w:t>, subcontratada (outsourcing)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Tendencias: </w:t>
      </w:r>
      <w:r>
        <w:rPr>
          <w:rFonts w:ascii="Cambria" w:hAnsi="Cambria" w:cs="Cambria" w:eastAsia="Cambria"/>
          <w:b/>
          <w:sz w:val="22"/>
        </w:rPr>
        <w:t>reshoring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nearshoring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friendshoring</w:t>
      </w:r>
      <w:r>
        <w:rPr>
          <w:rFonts w:ascii="Cambria" w:hAnsi="Cambria" w:cs="Cambria" w:eastAsia="Cambria"/>
          <w:sz w:val="22"/>
        </w:rPr>
        <w:t>, por resiliencia y geopolítica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Frenos: distancia, diferencias culturales y jurídicas, costes de coordinación, activos intangibles, infraestructuras, cualificación, inestabilidad, costes de reorganización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Ventajas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Origen: reducción de costes, mercados y recursos, especialización en mayor valor añadido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Receptor: capital, empleo, capacidad productiva, cadenas globales, productividad, tecnología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Paradigma ecléctico (OLI) de Dunning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Ventajas de </w:t>
      </w:r>
      <w:r>
        <w:rPr>
          <w:rFonts w:ascii="Cambria" w:hAnsi="Cambria" w:cs="Cambria" w:eastAsia="Cambria"/>
          <w:b/>
          <w:sz w:val="22"/>
        </w:rPr>
        <w:t>propiedad</w:t>
      </w:r>
      <w:r>
        <w:rPr>
          <w:rFonts w:ascii="Cambria" w:hAnsi="Cambria" w:cs="Cambria" w:eastAsia="Cambria"/>
          <w:sz w:val="22"/>
        </w:rPr>
        <w:t xml:space="preserve">, de </w:t>
      </w:r>
      <w:r>
        <w:rPr>
          <w:rFonts w:ascii="Cambria" w:hAnsi="Cambria" w:cs="Cambria" w:eastAsia="Cambria"/>
          <w:b/>
          <w:sz w:val="22"/>
        </w:rPr>
        <w:t>localización</w:t>
      </w:r>
      <w:r>
        <w:rPr>
          <w:rFonts w:ascii="Cambria" w:hAnsi="Cambria" w:cs="Cambria" w:eastAsia="Cambria"/>
          <w:sz w:val="22"/>
        </w:rPr>
        <w:t xml:space="preserve"> y de </w:t>
      </w:r>
      <w:r>
        <w:rPr>
          <w:rFonts w:ascii="Cambria" w:hAnsi="Cambria" w:cs="Cambria" w:eastAsia="Cambria"/>
          <w:b/>
          <w:sz w:val="22"/>
        </w:rPr>
        <w:t>internalización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Motivación: mercados, recursos, eficiencia, activos estratégicos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Determinantes de la inversión exterior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Amplía capital industrial o comercial, hacia países estables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Modalidades: empresas transnacionales, con capitales privados o públicos nacionales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Marco favorable: estabilidad de precios, crecimiento, rendimientos, privatización, desregulación, incentivos fiscales, objetivos de desarrollo regional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Aglomeración</w:t>
      </w:r>
      <w:r>
        <w:rPr>
          <w:rFonts w:ascii="Cambria" w:hAnsi="Cambria" w:cs="Cambria" w:eastAsia="Cambria"/>
          <w:sz w:val="22"/>
        </w:rPr>
        <w:t>: externalidades positivas (clientes, proveedores, trabajadores), pero más competencia por factores y costes salariales y de suelo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Efectos de la IED: crecimiento, productividad, empleo, internacionalización, tecnología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No automáticos: capacidad de absorción, cualificación, calidad institucional, empresas nacionales proveedoras, tipo de inversión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5. ACUERDOS INTERNACIONALES: APPRIS Y OCDE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OMC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MIC (TRIMs)</w:t>
      </w:r>
      <w:r>
        <w:rPr>
          <w:rFonts w:ascii="Cambria" w:hAnsi="Cambria" w:cs="Cambria" w:eastAsia="Cambria"/>
          <w:sz w:val="22"/>
        </w:rPr>
        <w:t>: prohíbe contenido local y equilibrio de divisas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AGCS (GATS)</w:t>
      </w:r>
      <w:r>
        <w:rPr>
          <w:rFonts w:ascii="Cambria" w:hAnsi="Cambria" w:cs="Cambria" w:eastAsia="Cambria"/>
          <w:sz w:val="22"/>
        </w:rPr>
        <w:t>: modo 3, presencia comercial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ADPIC</w:t>
      </w:r>
      <w:r>
        <w:rPr>
          <w:rFonts w:ascii="Cambria" w:hAnsi="Cambria" w:cs="Cambria" w:eastAsia="Cambria"/>
          <w:sz w:val="22"/>
        </w:rPr>
        <w:t>: propiedad intelectual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Acuerdo de Facilitación de las Inversiones para el Desarrollo, pendiente de incorporar por falta de consenso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5.1. APPRIs: Acuerdos de Promoción y Protección Recíproca de Inversiones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Tratados bilaterales recíprocos, sobre todo con países no OCDE, reducen riesgo político e incertidumbre jurídica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Protegen la fase </w:t>
      </w:r>
      <w:r>
        <w:rPr>
          <w:rFonts w:ascii="Cambria" w:hAnsi="Cambria" w:cs="Cambria" w:eastAsia="Cambria"/>
          <w:b/>
          <w:sz w:val="22"/>
        </w:rPr>
        <w:t>posterior al establecimiento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Contenido habitual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Trato justo y equitativo, plena protección y seguridad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Trato nacional y nación más favorecida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Expropiación solo no discriminatoria, de interés público y con indemnización pronta, adecuada y efectiva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Libre transferencia de capitales y rendimientos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Arbitraje Estado-Estado e inversor-Estado: ad hoc (</w:t>
      </w:r>
      <w:r>
        <w:rPr>
          <w:rFonts w:ascii="Cambria" w:hAnsi="Cambria" w:cs="Cambria" w:eastAsia="Cambria"/>
          <w:b/>
          <w:sz w:val="22"/>
        </w:rPr>
        <w:t>CNUDMI</w:t>
      </w:r>
      <w:r>
        <w:rPr>
          <w:rFonts w:ascii="Cambria" w:hAnsi="Cambria" w:cs="Cambria" w:eastAsia="Cambria"/>
          <w:sz w:val="22"/>
        </w:rPr>
        <w:t>) o institucional (</w:t>
      </w:r>
      <w:r>
        <w:rPr>
          <w:rFonts w:ascii="Cambria" w:hAnsi="Cambria" w:cs="Cambria" w:eastAsia="Cambria"/>
          <w:b/>
          <w:sz w:val="22"/>
        </w:rPr>
        <w:t>CCI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CIADI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Duración en APPRIs de España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10 años</w:t>
      </w:r>
      <w:r>
        <w:rPr>
          <w:rFonts w:ascii="Cambria" w:hAnsi="Cambria" w:cs="Cambria" w:eastAsia="Cambria"/>
          <w:sz w:val="22"/>
        </w:rPr>
        <w:t>, renovables por 2 años, preaviso de 6 meses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Algunos, indefinidos hasta denuncia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Cláusula de remanencia</w:t>
      </w:r>
      <w:r>
        <w:rPr>
          <w:rFonts w:ascii="Cambria" w:hAnsi="Cambria" w:cs="Cambria" w:eastAsia="Cambria"/>
          <w:sz w:val="22"/>
        </w:rPr>
        <w:t>, habitualmente 10 años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Unos </w:t>
      </w:r>
      <w:r>
        <w:rPr>
          <w:rFonts w:ascii="Cambria" w:hAnsi="Cambria" w:cs="Cambria" w:eastAsia="Cambria"/>
          <w:b/>
          <w:sz w:val="22"/>
        </w:rPr>
        <w:t>60</w:t>
      </w:r>
      <w:r>
        <w:rPr>
          <w:rFonts w:ascii="Cambria" w:hAnsi="Cambria" w:cs="Cambria" w:eastAsia="Cambria"/>
          <w:sz w:val="22"/>
        </w:rPr>
        <w:t xml:space="preserve"> en vigor, denunciados por Bolivia, Ecuador, India e Indonesia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Intracomunitarios terminados por Acuerdo plurilateral de </w:t>
      </w:r>
      <w:r>
        <w:rPr>
          <w:rFonts w:ascii="Cambria" w:hAnsi="Cambria" w:cs="Cambria" w:eastAsia="Cambria"/>
          <w:b/>
          <w:sz w:val="22"/>
        </w:rPr>
        <w:t>5 de mayo de 2020</w:t>
      </w:r>
      <w:r>
        <w:rPr>
          <w:rFonts w:ascii="Cambria" w:hAnsi="Cambria" w:cs="Cambria" w:eastAsia="Cambria"/>
          <w:sz w:val="22"/>
        </w:rPr>
        <w:t xml:space="preserve">, tras sentencia </w:t>
      </w:r>
      <w:r>
        <w:rPr>
          <w:rFonts w:ascii="Cambria" w:hAnsi="Cambria" w:cs="Cambria" w:eastAsia="Cambria"/>
          <w:b/>
          <w:sz w:val="22"/>
        </w:rPr>
        <w:t>Achmea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5.2. Convenio OCDE de lucha contra la corrupción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Convenio sobre cohecho de agentes públicos extranjeros en transacciones comerciales internacionales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Adoptado el </w:t>
      </w:r>
      <w:r>
        <w:rPr>
          <w:rFonts w:ascii="Cambria" w:hAnsi="Cambria" w:cs="Cambria" w:eastAsia="Cambria"/>
          <w:b/>
          <w:sz w:val="22"/>
        </w:rPr>
        <w:t>21 de noviembre de 1997</w:t>
      </w:r>
      <w:r>
        <w:rPr>
          <w:rFonts w:ascii="Cambria" w:hAnsi="Cambria" w:cs="Cambria" w:eastAsia="Cambria"/>
          <w:sz w:val="22"/>
        </w:rPr>
        <w:t xml:space="preserve">, en vigor el </w:t>
      </w:r>
      <w:r>
        <w:rPr>
          <w:rFonts w:ascii="Cambria" w:hAnsi="Cambria" w:cs="Cambria" w:eastAsia="Cambria"/>
          <w:b/>
          <w:sz w:val="22"/>
        </w:rPr>
        <w:t>15 de febrero de 1999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Obligación vinculante de tipificar y sancionar el cohecho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Complemento: Recomendación de 2021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46</w:t>
      </w:r>
      <w:r>
        <w:rPr>
          <w:rFonts w:ascii="Cambria" w:hAnsi="Cambria" w:cs="Cambria" w:eastAsia="Cambria"/>
          <w:sz w:val="22"/>
        </w:rPr>
        <w:t xml:space="preserve"> Partes: 38 miembros OCDE y 8 no miembros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España: LO 3/2000, hoy </w:t>
      </w:r>
      <w:r>
        <w:rPr>
          <w:rFonts w:ascii="Cambria" w:hAnsi="Cambria" w:cs="Cambria" w:eastAsia="Cambria"/>
          <w:b/>
          <w:sz w:val="22"/>
        </w:rPr>
        <w:t>art. 286 ter Código Penal</w:t>
      </w:r>
      <w:r>
        <w:rPr>
          <w:rFonts w:ascii="Cambria" w:hAnsi="Cambria" w:cs="Cambria" w:eastAsia="Cambria"/>
          <w:sz w:val="22"/>
        </w:rPr>
        <w:t>, con responsabilidad penal de personas jurídicas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5.3. Líneas Directrices de la OCDE para Empresas Multinacionales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Recomendaciones de gobiernos a multinacionales sobre </w:t>
      </w:r>
      <w:r>
        <w:rPr>
          <w:rFonts w:ascii="Cambria" w:hAnsi="Cambria" w:cs="Cambria" w:eastAsia="Cambria"/>
          <w:b/>
          <w:sz w:val="22"/>
        </w:rPr>
        <w:t>conducta empresarial responsable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Versión de </w:t>
      </w:r>
      <w:r>
        <w:rPr>
          <w:rFonts w:ascii="Cambria" w:hAnsi="Cambria" w:cs="Cambria" w:eastAsia="Cambria"/>
          <w:b/>
          <w:sz w:val="22"/>
        </w:rPr>
        <w:t>2023</w:t>
      </w:r>
      <w:r>
        <w:rPr>
          <w:rFonts w:ascii="Cambria" w:hAnsi="Cambria" w:cs="Cambria" w:eastAsia="Cambria"/>
          <w:sz w:val="22"/>
        </w:rPr>
        <w:t xml:space="preserve"> (actualiza la de 2011): clima, biodiversidad, tecnología, integridad, diligencia debida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Ámbitos: derechos humanos, empleo, medio ambiente, corrupción, consumidores, ciencia y tecnología, competencia, fiscalidad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Puntos Nacionales de Contacto (PNC)</w:t>
      </w:r>
      <w:r>
        <w:rPr>
          <w:rFonts w:ascii="Cambria" w:hAnsi="Cambria" w:cs="Cambria" w:eastAsia="Cambria"/>
          <w:sz w:val="22"/>
        </w:rPr>
        <w:t>: promoción y resolución de cuestiones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España: DG Inteligencia Económica y Comercial, Secretaría de Estado de Comercio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No vinculantes</w:t>
      </w:r>
      <w:r>
        <w:rPr>
          <w:rFonts w:ascii="Cambria" w:hAnsi="Cambria" w:cs="Cambria" w:eastAsia="Cambria"/>
          <w:sz w:val="22"/>
        </w:rPr>
        <w:t>, no sustituyen la legislación nacional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6. LOS APPRIS TRAS EL TRATADO DE LISBOA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Tratado de Lisboa</w:t>
      </w:r>
      <w:r>
        <w:rPr>
          <w:rFonts w:ascii="Cambria" w:hAnsi="Cambria" w:cs="Cambria" w:eastAsia="Cambria"/>
          <w:sz w:val="22"/>
        </w:rPr>
        <w:t xml:space="preserve">, en vigor el </w:t>
      </w:r>
      <w:r>
        <w:rPr>
          <w:rFonts w:ascii="Cambria" w:hAnsi="Cambria" w:cs="Cambria" w:eastAsia="Cambria"/>
          <w:b/>
          <w:sz w:val="22"/>
        </w:rPr>
        <w:t>1 de diciembre de 2009</w:t>
      </w:r>
      <w:r>
        <w:rPr>
          <w:rFonts w:ascii="Cambria" w:hAnsi="Cambria" w:cs="Cambria" w:eastAsia="Cambria"/>
          <w:sz w:val="22"/>
        </w:rPr>
        <w:t xml:space="preserve">: IED en la Política Comercial Común, competencia </w:t>
      </w:r>
      <w:r>
        <w:rPr>
          <w:rFonts w:ascii="Cambria" w:hAnsi="Cambria" w:cs="Cambria" w:eastAsia="Cambria"/>
          <w:b/>
          <w:sz w:val="22"/>
        </w:rPr>
        <w:t>exclusiva</w:t>
      </w:r>
      <w:r>
        <w:rPr>
          <w:rFonts w:ascii="Cambria" w:hAnsi="Cambria" w:cs="Cambria" w:eastAsia="Cambria"/>
          <w:sz w:val="22"/>
        </w:rPr>
        <w:t xml:space="preserve"> de la UE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1219/2012</w:t>
      </w:r>
      <w:r>
        <w:rPr>
          <w:rFonts w:ascii="Cambria" w:hAnsi="Cambria" w:cs="Cambria" w:eastAsia="Cambria"/>
          <w:sz w:val="22"/>
        </w:rPr>
        <w:t>: régimen transitorio de APPRIs previos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Mantiene los acuerdos existentes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Control y autorización de la Comisión para nuevos acuerdos de Estados miembros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Sustitución progresiva por acuerdos de la UE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Dictamen 2/15</w:t>
      </w:r>
      <w:r>
        <w:rPr>
          <w:rFonts w:ascii="Cambria" w:hAnsi="Cambria" w:cs="Cambria" w:eastAsia="Cambria"/>
          <w:sz w:val="22"/>
        </w:rPr>
        <w:t xml:space="preserve"> (2017), acuerdo con Singapur: inversión de cartera y solución de controversias inversor-Estado son competencia </w:t>
      </w:r>
      <w:r>
        <w:rPr>
          <w:rFonts w:ascii="Cambria" w:hAnsi="Cambria" w:cs="Cambria" w:eastAsia="Cambria"/>
          <w:b/>
          <w:sz w:val="22"/>
        </w:rPr>
        <w:t>compartida</w:t>
      </w:r>
      <w:r>
        <w:rPr>
          <w:rFonts w:ascii="Cambria" w:hAnsi="Cambria" w:cs="Cambria" w:eastAsia="Cambria"/>
          <w:sz w:val="22"/>
        </w:rPr>
        <w:t>, se separan acuerdos comerciales y de inversión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Sistema de Tribunales de Inversiones</w:t>
      </w:r>
      <w:r>
        <w:rPr>
          <w:rFonts w:ascii="Cambria" w:hAnsi="Cambria" w:cs="Cambria" w:eastAsia="Cambria"/>
          <w:sz w:val="22"/>
        </w:rPr>
        <w:t xml:space="preserve">, ya en el </w:t>
      </w:r>
      <w:r>
        <w:rPr>
          <w:rFonts w:ascii="Cambria" w:hAnsi="Cambria" w:cs="Cambria" w:eastAsia="Cambria"/>
          <w:b/>
          <w:sz w:val="22"/>
        </w:rPr>
        <w:t>CETA</w:t>
      </w:r>
      <w:r>
        <w:rPr>
          <w:rFonts w:ascii="Cambria" w:hAnsi="Cambria" w:cs="Cambria" w:eastAsia="Cambria"/>
          <w:sz w:val="22"/>
        </w:rPr>
        <w:t>, y futuro tribunal multilateral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7. CONCLUSIÓN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ICEX-Invest in Spain</w:t>
      </w:r>
      <w:r>
        <w:rPr>
          <w:rFonts w:ascii="Cambria" w:hAnsi="Cambria" w:cs="Cambria" w:eastAsia="Cambria"/>
          <w:sz w:val="22"/>
        </w:rPr>
        <w:t>: captación y acompañamiento de proyectos, promoción de España, coordinación con las Administraciones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IED: contribuye a financiación, productividad, empleo, tecnología y cadenas globales, efectos no automáticos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Contexto: recuperación frágil, concentración en sectores estratégicos (IA, semiconductores, transición energética), más control por seguridad económica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Política de inversión: atraer capital productivo y proteger intereses estratégicos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UE: </w:t>
      </w:r>
      <w:r>
        <w:rPr>
          <w:rFonts w:ascii="Cambria" w:hAnsi="Cambria" w:cs="Cambria" w:eastAsia="Cambria"/>
          <w:b/>
          <w:sz w:val="22"/>
        </w:rPr>
        <w:t>Reglamento (UE) 2026/1386</w:t>
      </w:r>
      <w:r>
        <w:rPr>
          <w:rFonts w:ascii="Cambria" w:hAnsi="Cambria" w:cs="Cambria" w:eastAsia="Cambria"/>
          <w:sz w:val="22"/>
        </w:rPr>
        <w:t xml:space="preserve"> desde 2028, armoniza controles sin cuestionar la apertura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mbria" w:hAnsi="Cambria" w:cs="Cambria" w:eastAsia="Cambria"/>
        <w:color w:val="595959"/>
        <w:sz w:val="18"/>
      </w:rPr>
      <w:fldChar w:fldCharType="begin"/>
    </w:r>
    <w:r>
      <w:rPr>
        <w:rFonts w:ascii="Cambria" w:hAnsi="Cambria" w:cs="Cambria" w:eastAsia="Cambria"/>
        <w:color w:val="595959"/>
        <w:sz w:val="18"/>
      </w:rPr>
      <w:instrText xml:space="preserve">PAGE</w:instrText>
    </w:r>
    <w:r>
      <w:rPr>
        <w:rFonts w:ascii="Cambria" w:hAnsi="Cambria" w:cs="Cambria" w:eastAsia="Cambria"/>
        <w:color w:val="595959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240"/>
      <w:jc w:val="both"/>
    </w:pPr>
    <w:r>
      <w:rPr>
        <w:rFonts w:ascii="Cambria" w:hAnsi="Cambria" w:cs="Cambria" w:eastAsia="Cambria"/>
        <w:b/>
        <w:i/>
        <w:color w:val="595959"/>
        <w:sz w:val="18"/>
      </w:rPr>
      <w:t>TEMA 18 – Inversiones extranjeras. Inversión directa y en valores negociables.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  <w:lang w:val="es-ES" w:eastAsia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mbria" w:hAnsi="Cambria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40"/>
      <w:contextualSpacing/>
    </w:pPr>
    <w:rPr>
      <w:rFonts w:ascii="Cambria" w:hAnsi="Cambria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40"/>
      <w:contextualSpacing/>
    </w:pPr>
    <w:rPr>
      <w:rFonts w:ascii="Cambria" w:hAnsi="Cambria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TEMA 18 – Inversiones extranjeras. Inversión directa y en valores negociables.</dc:title>
  <dc:subject>Esquema del temario de oposiciones al SOIVRE</dc:subject>
  <dc:creator>Sergio Argudo Santiago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