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Balanza de Pagos</w:t>
      </w:r>
      <w:r>
        <w:rPr>
          <w:rFonts w:ascii="Cambria" w:hAnsi="Cambria" w:cs="Cambria" w:eastAsia="Cambria"/>
          <w:sz w:val="22"/>
        </w:rPr>
        <w:t>: documento contable que recoge de forma sistemática las transacciones económicas de un país con el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Suma de pagos y cobros de residentes con no residentes: determina </w:t>
      </w:r>
      <w:r>
        <w:rPr>
          <w:rFonts w:ascii="Cambria" w:hAnsi="Cambria" w:cs="Cambria" w:eastAsia="Cambria"/>
          <w:b/>
          <w:sz w:val="22"/>
        </w:rPr>
        <w:t>déficit o superávit</w:t>
      </w:r>
      <w:r>
        <w:rPr>
          <w:rFonts w:ascii="Cambria" w:hAnsi="Cambria" w:cs="Cambria" w:eastAsia="Cambria"/>
          <w:sz w:val="22"/>
        </w:rPr>
        <w:t xml:space="preserve"> con el exterior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BALANZA DE PAGOS: CONCEPTO, PRESENTACIONES, METODOLOGÍA Y ESTRUCTURA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Concepto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Elaborada por el </w:t>
      </w:r>
      <w:r>
        <w:rPr>
          <w:rFonts w:ascii="Cambria" w:hAnsi="Cambria" w:cs="Cambria" w:eastAsia="Cambria"/>
          <w:b/>
          <w:sz w:val="22"/>
        </w:rPr>
        <w:t>Banco de España desde 1991</w:t>
      </w:r>
      <w:r>
        <w:rPr>
          <w:rFonts w:ascii="Cambria" w:hAnsi="Cambria" w:cs="Cambria" w:eastAsia="Cambria"/>
          <w:sz w:val="22"/>
        </w:rPr>
        <w:t xml:space="preserve"> (antes, Secretaría de Estado de Comercio)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Metodología del </w:t>
      </w:r>
      <w:r>
        <w:rPr>
          <w:rFonts w:ascii="Cambria" w:hAnsi="Cambria" w:cs="Cambria" w:eastAsia="Cambria"/>
          <w:b/>
          <w:sz w:val="22"/>
        </w:rPr>
        <w:t>FMI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Sexto Manual (MBP6)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BPM7</w:t>
      </w:r>
      <w:r>
        <w:rPr>
          <w:rFonts w:ascii="Cambria" w:hAnsi="Cambria" w:cs="Cambria" w:eastAsia="Cambria"/>
          <w:sz w:val="22"/>
        </w:rPr>
        <w:t>: versión provisional en marzo de 2025, publicación definitiva prevista último trimestre de 2026, implementación 2029-2030 junto al SCN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Estadística esencial para la política monetaria: </w:t>
      </w:r>
      <w:r>
        <w:rPr>
          <w:rFonts w:ascii="Cambria" w:hAnsi="Cambria" w:cs="Cambria" w:eastAsia="Cambria"/>
          <w:b/>
          <w:sz w:val="22"/>
        </w:rPr>
        <w:t>BCE y Eurostat</w:t>
      </w:r>
      <w:r>
        <w:rPr>
          <w:rFonts w:ascii="Cambria" w:hAnsi="Cambria" w:cs="Cambria" w:eastAsia="Cambria"/>
          <w:sz w:val="22"/>
        </w:rPr>
        <w:t xml:space="preserve"> impulsan la armonización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  <w:r>
        <w:rPr>
          <w:rFonts w:ascii="Cambria" w:hAnsi="Cambria" w:cs="Cambria" w:eastAsia="Cambria"/>
          <w:sz w:val="22"/>
        </w:rPr>
        <w:t>: registro estadístico sistemático de transacciones reales y financieras entre residentes y resto del mundo en un periodo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Registro sistemático</w:t>
      </w:r>
      <w:r>
        <w:rPr>
          <w:rFonts w:ascii="Cambria" w:hAnsi="Cambria" w:cs="Cambria" w:eastAsia="Cambria"/>
          <w:sz w:val="22"/>
        </w:rPr>
        <w:t>: partida doble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Cuentas corriente y de capital: ingresos (créditos) y pagos (débitos)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Cuenta financiera: variación neta de activos y de pasivos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suma de todos los saldos es </w:t>
      </w:r>
      <w:r>
        <w:rPr>
          <w:rFonts w:ascii="Cambria" w:hAnsi="Cambria" w:cs="Cambria" w:eastAsia="Cambria"/>
          <w:b/>
          <w:sz w:val="22"/>
        </w:rPr>
        <w:t>siempre cero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Residencia</w:t>
      </w:r>
      <w:r>
        <w:rPr>
          <w:rFonts w:ascii="Cambria" w:hAnsi="Cambria" w:cs="Cambria" w:eastAsia="Cambria"/>
          <w:sz w:val="22"/>
        </w:rPr>
        <w:t>: independiente de la nacionalidad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Centro de interés económico principal: un año o más para personas físicas, actividad económica para jurídicas (incluidas filiales extranjeras)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Inmuebles de no residentes: </w:t>
      </w:r>
      <w:r>
        <w:rPr>
          <w:rFonts w:ascii="Cambria" w:hAnsi="Cambria" w:cs="Cambria" w:eastAsia="Cambria"/>
          <w:b/>
          <w:sz w:val="22"/>
        </w:rPr>
        <w:t>unidad ficticia (notional unit)</w:t>
      </w:r>
      <w:r>
        <w:rPr>
          <w:rFonts w:ascii="Cambria" w:hAnsi="Cambria" w:cs="Cambria" w:eastAsia="Cambria"/>
          <w:sz w:val="22"/>
        </w:rPr>
        <w:t xml:space="preserve"> residente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Valoración</w:t>
      </w:r>
      <w:r>
        <w:rPr>
          <w:rFonts w:ascii="Cambria" w:hAnsi="Cambria" w:cs="Cambria" w:eastAsia="Cambria"/>
          <w:sz w:val="22"/>
        </w:rPr>
        <w:t xml:space="preserve">: moneda nacional, en euros desde </w:t>
      </w:r>
      <w:r>
        <w:rPr>
          <w:rFonts w:ascii="Cambria" w:hAnsi="Cambria" w:cs="Cambria" w:eastAsia="Cambria"/>
          <w:b/>
          <w:sz w:val="22"/>
        </w:rPr>
        <w:t>1999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Posición de Inversión Internacional (PII)</w:t>
      </w:r>
      <w:r>
        <w:rPr>
          <w:rFonts w:ascii="Cambria" w:hAnsi="Cambria" w:cs="Cambria" w:eastAsia="Cambria"/>
          <w:sz w:val="22"/>
        </w:rPr>
        <w:t>: stock de activos y pasivos financieros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Balanza es el flujo o variación de ese stock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Devengo</w:t>
      </w:r>
      <w:r>
        <w:rPr>
          <w:rFonts w:ascii="Cambria" w:hAnsi="Cambria" w:cs="Cambria" w:eastAsia="Cambria"/>
          <w:sz w:val="22"/>
        </w:rPr>
        <w:t>: se registra cuando se crea, transforma, intercambia, transfiere o extingue el valor económico, no al cobrar o pagar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Criterio de caja en algunas operaciones (parte del comercio de mercancías, intereses de deuda pública en euros)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Ordenación de flujos financieros</w:t>
      </w:r>
      <w:r>
        <w:rPr>
          <w:rFonts w:ascii="Cambria" w:hAnsi="Cambria" w:cs="Cambria" w:eastAsia="Cambria"/>
          <w:sz w:val="22"/>
        </w:rPr>
        <w:t>: VNA y VNP en flujos netos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Aumento: signo </w:t>
      </w:r>
      <w:r>
        <w:rPr>
          <w:rFonts w:ascii="Cambria" w:hAnsi="Cambria" w:cs="Cambria" w:eastAsia="Cambria"/>
          <w:b/>
          <w:sz w:val="22"/>
        </w:rPr>
        <w:t>+</w:t>
      </w:r>
      <w:r>
        <w:rPr>
          <w:rFonts w:ascii="Cambria" w:hAnsi="Cambria" w:cs="Cambria" w:eastAsia="Cambria"/>
          <w:sz w:val="22"/>
        </w:rPr>
        <w:t xml:space="preserve">, disminución: signo </w:t>
      </w:r>
      <w:r>
        <w:rPr>
          <w:rFonts w:ascii="Cambria" w:hAnsi="Cambria" w:cs="Cambria" w:eastAsia="Cambria"/>
          <w:b/>
          <w:sz w:val="22"/>
        </w:rPr>
        <w:t>−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Saldo = </w:t>
      </w:r>
      <w:r>
        <w:rPr>
          <w:rFonts w:ascii="Cambria" w:hAnsi="Cambria" w:cs="Cambria" w:eastAsia="Cambria"/>
          <w:b/>
          <w:sz w:val="22"/>
        </w:rPr>
        <w:t>VNA − VNP</w:t>
      </w:r>
      <w:r>
        <w:rPr>
          <w:rFonts w:ascii="Cambria" w:hAnsi="Cambria" w:cs="Cambria" w:eastAsia="Cambria"/>
          <w:sz w:val="22"/>
        </w:rPr>
        <w:t>, equivale a la capacidad o necesidad de financiación sin discrepancias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Fuentes</w:t>
      </w:r>
      <w:r>
        <w:rPr>
          <w:rFonts w:ascii="Cambria" w:hAnsi="Cambria" w:cs="Cambria" w:eastAsia="Cambria"/>
          <w:sz w:val="22"/>
        </w:rPr>
        <w:t xml:space="preserve">: sustituyen al sistema </w:t>
      </w:r>
      <w:r>
        <w:rPr>
          <w:rFonts w:ascii="Cambria" w:hAnsi="Cambria" w:cs="Cambria" w:eastAsia="Cambria"/>
          <w:b/>
          <w:sz w:val="22"/>
        </w:rPr>
        <w:t>ITRS</w:t>
      </w:r>
      <w:r>
        <w:rPr>
          <w:rFonts w:ascii="Cambria" w:hAnsi="Cambria" w:cs="Cambria" w:eastAsia="Cambria"/>
          <w:sz w:val="22"/>
        </w:rPr>
        <w:t xml:space="preserve"> (desaparecido en 2014)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Periodicidad</w:t>
      </w:r>
      <w:r>
        <w:rPr>
          <w:rFonts w:ascii="Cambria" w:hAnsi="Cambria" w:cs="Cambria" w:eastAsia="Cambria"/>
          <w:sz w:val="22"/>
        </w:rPr>
        <w:t xml:space="preserve">: mensual (desfase de unos </w:t>
      </w:r>
      <w:r>
        <w:rPr>
          <w:rFonts w:ascii="Cambria" w:hAnsi="Cambria" w:cs="Cambria" w:eastAsia="Cambria"/>
          <w:b/>
          <w:sz w:val="22"/>
        </w:rPr>
        <w:t>60 días</w:t>
      </w:r>
      <w:r>
        <w:rPr>
          <w:rFonts w:ascii="Cambria" w:hAnsi="Cambria" w:cs="Cambria" w:eastAsia="Cambria"/>
          <w:sz w:val="22"/>
        </w:rPr>
        <w:t>, agregación sintética), trimestral y anual con alto detalle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Presentaciones de la Balanza de Pagos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Cada país es libre de fijar sus normas, pero conviene usar normas comunes para comparar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 </w:t>
      </w:r>
      <w:r>
        <w:rPr>
          <w:rFonts w:ascii="Cambria" w:hAnsi="Cambria" w:cs="Cambria" w:eastAsia="Cambria"/>
          <w:b/>
          <w:sz w:val="22"/>
        </w:rPr>
        <w:t>FMI</w:t>
      </w:r>
      <w:r>
        <w:rPr>
          <w:rFonts w:ascii="Cambria" w:hAnsi="Cambria" w:cs="Cambria" w:eastAsia="Cambria"/>
          <w:sz w:val="22"/>
        </w:rPr>
        <w:t xml:space="preserve"> elabora las normas: primer manual en </w:t>
      </w:r>
      <w:r>
        <w:rPr>
          <w:rFonts w:ascii="Cambria" w:hAnsi="Cambria" w:cs="Cambria" w:eastAsia="Cambria"/>
          <w:b/>
          <w:sz w:val="22"/>
        </w:rPr>
        <w:t>1948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MBP6 (2009)</w:t>
      </w:r>
      <w:r>
        <w:rPr>
          <w:rFonts w:ascii="Cambria" w:hAnsi="Cambria" w:cs="Cambria" w:eastAsia="Cambria"/>
          <w:sz w:val="22"/>
        </w:rPr>
        <w:t xml:space="preserve"> sustituye al MBP5 (1993)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presentaciones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Detallada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112 apartados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Agregada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8 grandes apartados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Libertad de agregación y de periodicidad (mensual o trimestral)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Metodología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Antes: sistema cerrado de información bancaria (</w:t>
      </w:r>
      <w:r>
        <w:rPr>
          <w:rFonts w:ascii="Cambria" w:hAnsi="Cambria" w:cs="Cambria" w:eastAsia="Cambria"/>
          <w:b/>
          <w:sz w:val="22"/>
        </w:rPr>
        <w:t>ITRS</w:t>
      </w:r>
      <w:r>
        <w:rPr>
          <w:rFonts w:ascii="Cambria" w:hAnsi="Cambria" w:cs="Cambria" w:eastAsia="Cambria"/>
          <w:sz w:val="22"/>
        </w:rPr>
        <w:t>), con autocomprobación de saldos por el declarante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Ahora: sistema directo e integrado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Liberalización financiera, fin de controles de cambios y múltiples fuentes independientes (aduanas, encuestas, registros)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Efecto: discrepancias entre cuenta financiera y cuentas corriente y de capital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recogen en </w:t>
      </w:r>
      <w:r>
        <w:rPr>
          <w:rFonts w:ascii="Cambria" w:hAnsi="Cambria" w:cs="Cambria" w:eastAsia="Cambria"/>
          <w:b/>
          <w:sz w:val="22"/>
        </w:rPr>
        <w:t>Errores y Omisiones</w:t>
      </w:r>
      <w:r>
        <w:rPr>
          <w:rFonts w:ascii="Cambria" w:hAnsi="Cambria" w:cs="Cambria" w:eastAsia="Cambria"/>
          <w:sz w:val="22"/>
        </w:rPr>
        <w:t>, partida de ajuste estadístico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Estructura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Tres cuentas básicas: </w:t>
      </w:r>
      <w:r>
        <w:rPr>
          <w:rFonts w:ascii="Cambria" w:hAnsi="Cambria" w:cs="Cambria" w:eastAsia="Cambria"/>
          <w:b/>
          <w:sz w:val="22"/>
        </w:rPr>
        <w:t>corriente, de capital y financiera</w:t>
      </w:r>
      <w:r>
        <w:rPr>
          <w:rFonts w:ascii="Cambria" w:hAnsi="Cambria" w:cs="Cambria" w:eastAsia="Cambria"/>
          <w:sz w:val="22"/>
        </w:rPr>
        <w:t>, divididas en sub-balanzas y rúbricas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Cuenta corriente</w:t>
      </w:r>
      <w:r>
        <w:rPr>
          <w:rFonts w:ascii="Cambria" w:hAnsi="Cambria" w:cs="Cambria" w:eastAsia="Cambria"/>
          <w:sz w:val="22"/>
        </w:rPr>
        <w:t>: cuatro balanzas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Comercial, de servicios, de </w:t>
      </w:r>
      <w:r>
        <w:rPr>
          <w:rFonts w:ascii="Cambria" w:hAnsi="Cambria" w:cs="Cambria" w:eastAsia="Cambria"/>
          <w:b/>
          <w:sz w:val="22"/>
        </w:rPr>
        <w:t>renta primaria</w:t>
      </w:r>
      <w:r>
        <w:rPr>
          <w:rFonts w:ascii="Cambria" w:hAnsi="Cambria" w:cs="Cambria" w:eastAsia="Cambria"/>
          <w:sz w:val="22"/>
        </w:rPr>
        <w:t xml:space="preserve"> y de </w:t>
      </w:r>
      <w:r>
        <w:rPr>
          <w:rFonts w:ascii="Cambria" w:hAnsi="Cambria" w:cs="Cambria" w:eastAsia="Cambria"/>
          <w:b/>
          <w:sz w:val="22"/>
        </w:rPr>
        <w:t>renta secundaria</w:t>
      </w:r>
      <w:r>
        <w:rPr>
          <w:rFonts w:ascii="Cambria" w:hAnsi="Cambria" w:cs="Cambria" w:eastAsia="Cambria"/>
          <w:sz w:val="22"/>
        </w:rPr>
        <w:t xml:space="preserve"> (en el MBP5: rentas y transferencias corrientes)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Balanza comercial</w:t>
      </w:r>
      <w:r>
        <w:rPr>
          <w:rFonts w:ascii="Cambria" w:hAnsi="Cambria" w:cs="Cambria" w:eastAsia="Cambria"/>
          <w:sz w:val="22"/>
        </w:rPr>
        <w:t xml:space="preserve">: tráfico de mercancías, importaciones valoradas </w:t>
      </w:r>
      <w:r>
        <w:rPr>
          <w:rFonts w:ascii="Cambria" w:hAnsi="Cambria" w:cs="Cambria" w:eastAsia="Cambria"/>
          <w:b/>
          <w:sz w:val="22"/>
        </w:rPr>
        <w:t>FOB</w:t>
      </w:r>
      <w:r>
        <w:rPr>
          <w:rFonts w:ascii="Cambria" w:hAnsi="Cambria" w:cs="Cambria" w:eastAsia="Cambria"/>
          <w:sz w:val="22"/>
        </w:rPr>
        <w:t>, datos del Departamento de Aduanas e Impuestos Especiales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Balanza de servicios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doce rúbricas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Turismo y viajes</w:t>
      </w:r>
      <w:r>
        <w:rPr>
          <w:rFonts w:ascii="Cambria" w:hAnsi="Cambria" w:cs="Cambria" w:eastAsia="Cambria"/>
          <w:sz w:val="22"/>
        </w:rPr>
        <w:t>: bienes y servicios adquiridos por viajeros, estancia menor de un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Transportes</w:t>
      </w:r>
      <w:r>
        <w:rPr>
          <w:rFonts w:ascii="Cambria" w:hAnsi="Cambria" w:cs="Cambria" w:eastAsia="Cambria"/>
          <w:sz w:val="22"/>
        </w:rPr>
        <w:t>: fletes, pasajeros, otros servicios de transporte, servicios postales y mensajería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Construcción</w:t>
      </w:r>
      <w:r>
        <w:rPr>
          <w:rFonts w:ascii="Cambria" w:hAnsi="Cambria" w:cs="Cambria" w:eastAsia="Cambria"/>
          <w:sz w:val="22"/>
        </w:rPr>
        <w:t>: según residencia de las empresas, se distingue de operaciones financieras entre vinculadas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Seguros y pensiones</w:t>
      </w:r>
      <w:r>
        <w:rPr>
          <w:rFonts w:ascii="Cambria" w:hAnsi="Cambria" w:cs="Cambria" w:eastAsia="Cambria"/>
          <w:sz w:val="22"/>
        </w:rPr>
        <w:t>: valorados por el servicio de intermediación, no por las primas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Servicio de seguros: cuenta de servicios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Suplementos de primas: renta primaria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Primas netas e indemnizaciones: renta secundaria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Reservas técnicas: cuenta financiera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Servicios financieros</w:t>
      </w:r>
      <w:r>
        <w:rPr>
          <w:rFonts w:ascii="Cambria" w:hAnsi="Cambria" w:cs="Cambria" w:eastAsia="Cambria"/>
          <w:sz w:val="22"/>
        </w:rPr>
        <w:t xml:space="preserve">: intermediarios y auxiliares, salvo seguros y pensiones, incluye </w:t>
      </w:r>
      <w:r>
        <w:rPr>
          <w:rFonts w:ascii="Cambria" w:hAnsi="Cambria" w:cs="Cambria" w:eastAsia="Cambria"/>
          <w:b/>
          <w:sz w:val="22"/>
        </w:rPr>
        <w:t>SIFMI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Telecomunicaciones, informática e información</w:t>
      </w:r>
      <w:r>
        <w:rPr>
          <w:rFonts w:ascii="Cambria" w:hAnsi="Cambria" w:cs="Cambria" w:eastAsia="Cambria"/>
          <w:sz w:val="22"/>
        </w:rPr>
        <w:t>: agrupación consolidada con el MBP6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Otros servicios empresariales</w:t>
      </w:r>
      <w:r>
        <w:rPr>
          <w:rFonts w:ascii="Cambria" w:hAnsi="Cambria" w:cs="Cambria" w:eastAsia="Cambria"/>
          <w:sz w:val="22"/>
        </w:rPr>
        <w:t>: I+D+i, consultoría, arquitectura e ingeniería, comercio y comisiones, servicios agrícolas y mineros, arrendamiento operativo, seguridad, limpieza y traducción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Servicios personales, culturales y recreativos</w:t>
      </w:r>
      <w:r>
        <w:rPr>
          <w:rFonts w:ascii="Cambria" w:hAnsi="Cambria" w:cs="Cambria" w:eastAsia="Cambria"/>
          <w:sz w:val="22"/>
        </w:rPr>
        <w:t>: audiovisuales y otros (salud, educación, deporte)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Bienes y servicios del Gobierno n.c.o.p.</w:t>
      </w:r>
      <w:r>
        <w:rPr>
          <w:rFonts w:ascii="Cambria" w:hAnsi="Cambria" w:cs="Cambria" w:eastAsia="Cambria"/>
          <w:sz w:val="22"/>
        </w:rPr>
        <w:t>: enclaves (embajadas, consulados, bases militares) y personal diplomático y militar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Manufactura sobre insumos físicos de otros</w:t>
      </w:r>
      <w:r>
        <w:rPr>
          <w:rFonts w:ascii="Cambria" w:hAnsi="Cambria" w:cs="Cambria" w:eastAsia="Cambria"/>
          <w:sz w:val="22"/>
        </w:rPr>
        <w:t>: introducida con el MBP6, el transformador no adquiere la propiedad (ejemplo: licuefacción de gas natural)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Mantenimiento y reparación n.c.o.p.</w:t>
      </w:r>
      <w:r>
        <w:rPr>
          <w:rFonts w:ascii="Cambria" w:hAnsi="Cambria" w:cs="Cambria" w:eastAsia="Cambria"/>
          <w:sz w:val="22"/>
        </w:rPr>
        <w:t>: bienes de no residentes (barcos, aeronaves, vehículos)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Cargos por uso de propiedad intelectual n.c.o.p.</w:t>
      </w:r>
      <w:r>
        <w:rPr>
          <w:rFonts w:ascii="Cambria" w:hAnsi="Cambria" w:cs="Cambria" w:eastAsia="Cambria"/>
          <w:sz w:val="22"/>
        </w:rPr>
        <w:t>: patentes, marcas, licencias de reproducción y distribución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Renta primaria</w:t>
      </w:r>
      <w:r>
        <w:rPr>
          <w:rFonts w:ascii="Cambria" w:hAnsi="Cambria" w:cs="Cambria" w:eastAsia="Cambria"/>
          <w:sz w:val="22"/>
        </w:rPr>
        <w:t>: rendimiento por contribuir a la producción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Remuneración de asalariados</w:t>
      </w:r>
      <w:r>
        <w:rPr>
          <w:rFonts w:ascii="Cambria" w:hAnsi="Cambria" w:cs="Cambria" w:eastAsia="Cambria"/>
          <w:sz w:val="22"/>
        </w:rPr>
        <w:t>: transfronterizos, estacionales y temporeros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Rentas de la inversión</w:t>
      </w:r>
      <w:r>
        <w:rPr>
          <w:rFonts w:ascii="Cambria" w:hAnsi="Cambria" w:cs="Cambria" w:eastAsia="Cambria"/>
          <w:sz w:val="22"/>
        </w:rPr>
        <w:t>: dividendos, beneficios reinvertidos, intereses, fondos de inversión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Otras rentas primarias</w:t>
      </w:r>
      <w:r>
        <w:rPr>
          <w:rFonts w:ascii="Cambria" w:hAnsi="Cambria" w:cs="Cambria" w:eastAsia="Cambria"/>
          <w:sz w:val="22"/>
        </w:rPr>
        <w:t>: impuestos sobre producción e importaciones y subvenciones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Renta secundaria</w:t>
      </w:r>
      <w:r>
        <w:rPr>
          <w:rFonts w:ascii="Cambria" w:hAnsi="Cambria" w:cs="Cambria" w:eastAsia="Cambria"/>
          <w:sz w:val="22"/>
        </w:rPr>
        <w:t>: transferencias corrientes, redistribución de renta sin contraprestación productiva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Transferencias personales</w:t>
      </w:r>
      <w:r>
        <w:rPr>
          <w:rFonts w:ascii="Cambria" w:hAnsi="Cambria" w:cs="Cambria" w:eastAsia="Cambria"/>
          <w:sz w:val="22"/>
        </w:rPr>
        <w:t>: remesas y otras entre hogares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Administraciones Públicas</w:t>
      </w:r>
      <w:r>
        <w:rPr>
          <w:rFonts w:ascii="Cambria" w:hAnsi="Cambria" w:cs="Cambria" w:eastAsia="Cambria"/>
          <w:sz w:val="22"/>
        </w:rPr>
        <w:t>: operaciones con la UE, recursos propios basados en RNB y en 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Cuenta de capital</w:t>
      </w:r>
      <w:r>
        <w:rPr>
          <w:rFonts w:ascii="Cambria" w:hAnsi="Cambria" w:cs="Cambria" w:eastAsia="Cambria"/>
          <w:sz w:val="22"/>
        </w:rPr>
        <w:t>: dos rúbricas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Transferencias de capital</w:t>
      </w:r>
      <w:r>
        <w:rPr>
          <w:rFonts w:ascii="Cambria" w:hAnsi="Cambria" w:cs="Cambria" w:eastAsia="Cambria"/>
          <w:sz w:val="22"/>
        </w:rPr>
        <w:t>: Administraciones Públicas, otros sectores, condonaciones de deuda, fondos de la UE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El cambio de residencia de migrantes ya no genera transacción de capital (cambio MBP6 respecto al MBP5)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Activos no financieros no producidos</w:t>
      </w:r>
      <w:r>
        <w:rPr>
          <w:rFonts w:ascii="Cambria" w:hAnsi="Cambria" w:cs="Cambria" w:eastAsia="Cambria"/>
          <w:sz w:val="22"/>
        </w:rPr>
        <w:t>: recursos naturales, contratos y licencias transferibles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Cuenta financiera</w:t>
      </w:r>
      <w:r>
        <w:rPr>
          <w:rFonts w:ascii="Cambria" w:hAnsi="Cambria" w:cs="Cambria" w:eastAsia="Cambria"/>
          <w:sz w:val="22"/>
        </w:rPr>
        <w:t xml:space="preserve">: VNA y VNP, saldo = </w:t>
      </w:r>
      <w:r>
        <w:rPr>
          <w:rFonts w:ascii="Cambria" w:hAnsi="Cambria" w:cs="Cambria" w:eastAsia="Cambria"/>
          <w:b/>
          <w:sz w:val="22"/>
        </w:rPr>
        <w:t>VNA − VNP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Saldo positivo: salida neta de fondos, negativo: entrada neta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Equivale al saldo de corriente más capital, con diferencias en errores y omisiones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presenta separando el Banco de España del resto de sectores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Excluido el Banco de España</w:t>
      </w:r>
      <w:r>
        <w:rPr>
          <w:rFonts w:ascii="Cambria" w:hAnsi="Cambria" w:cs="Cambria" w:eastAsia="Cambria"/>
          <w:sz w:val="22"/>
        </w:rPr>
        <w:t>: inversión directa, inversión de cartera, otra inversión y derivados financieros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Los derivados se registran en términos netos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Inversión directa</w:t>
      </w:r>
      <w:r>
        <w:rPr>
          <w:rFonts w:ascii="Cambria" w:hAnsi="Cambria" w:cs="Cambria" w:eastAsia="Cambria"/>
          <w:sz w:val="22"/>
        </w:rPr>
        <w:t xml:space="preserve">: control o influencia significativa, umbral práctico del </w:t>
      </w: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 xml:space="preserve"> de derechos de voto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Acciones y participaciones, otras formas de participación, financiación entre empresas relacionadas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Inversión de cartera</w:t>
      </w:r>
      <w:r>
        <w:rPr>
          <w:rFonts w:ascii="Cambria" w:hAnsi="Cambria" w:cs="Cambria" w:eastAsia="Cambria"/>
          <w:sz w:val="22"/>
        </w:rPr>
        <w:t>: valores negociables que no son inversión directa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Acciones, participaciones y fondos de inversión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Títulos de deuda, largo y corto plazo por vencimiento original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Otra inversión</w:t>
      </w:r>
      <w:r>
        <w:rPr>
          <w:rFonts w:ascii="Cambria" w:hAnsi="Cambria" w:cs="Cambria" w:eastAsia="Cambria"/>
          <w:sz w:val="22"/>
        </w:rPr>
        <w:t>: por exclusión, préstamos, depósitos, créditos comerciales, otras cuentas a cobrar y pagar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Derivados financieros</w:t>
      </w:r>
      <w:r>
        <w:rPr>
          <w:rFonts w:ascii="Cambria" w:hAnsi="Cambria" w:cs="Cambria" w:eastAsia="Cambria"/>
          <w:sz w:val="22"/>
        </w:rPr>
        <w:t>: futuros, opciones, swaps, operaciones a plazo, warrants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Por convención, se asignan a la variación neta de activos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Banco de España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Activos de reserva</w:t>
      </w:r>
      <w:r>
        <w:rPr>
          <w:rFonts w:ascii="Cambria" w:hAnsi="Cambria" w:cs="Cambria" w:eastAsia="Cambria"/>
          <w:sz w:val="22"/>
        </w:rPr>
        <w:t>: oro monetario, DEG, posición de reserva en el FMI, activos en moneda extranjera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Posición frente al Eurosistema</w:t>
      </w:r>
      <w:r>
        <w:rPr>
          <w:rFonts w:ascii="Cambria" w:hAnsi="Cambria" w:cs="Cambria" w:eastAsia="Cambria"/>
          <w:sz w:val="22"/>
        </w:rPr>
        <w:t>: puede incluir activos y pasivos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Otros activos y pasivos exteriores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Errores y Omisiones</w:t>
      </w:r>
      <w:r>
        <w:rPr>
          <w:rFonts w:ascii="Cambria" w:hAnsi="Cambria" w:cs="Cambria" w:eastAsia="Cambria"/>
          <w:sz w:val="22"/>
        </w:rPr>
        <w:t>: partida de ajuste, no es una cuarta cuenta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Diferencia entre saldo de cuenta financiera y saldo de corriente más capital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Signo positivo: infravaloración de ingresos o de VNP, sobrevaloración de pagos o de VNA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Corriente + capital ≈ financiera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Clasificación de las operaciones por sectores institucionales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Rentas primaria y secundaria, capital y cuenta financiera se clasifican en tres sectores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Instituciones Financieras Monetarias</w:t>
      </w:r>
      <w:r>
        <w:rPr>
          <w:rFonts w:ascii="Cambria" w:hAnsi="Cambria" w:cs="Cambria" w:eastAsia="Cambria"/>
          <w:sz w:val="22"/>
        </w:rPr>
        <w:t>: Banco de España y otras IFM (entidades de crédito, incluido el ICO, y fondos del mercado monetario)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Administraciones Públicas</w:t>
      </w:r>
      <w:r>
        <w:rPr>
          <w:rFonts w:ascii="Cambria" w:hAnsi="Cambria" w:cs="Cambria" w:eastAsia="Cambria"/>
          <w:sz w:val="22"/>
        </w:rPr>
        <w:t>: Administración Central, comunidades autónomas, corporaciones locales y Seguridad Social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Otros sectores residentes</w:t>
      </w:r>
      <w:r>
        <w:rPr>
          <w:rFonts w:ascii="Cambria" w:hAnsi="Cambria" w:cs="Cambria" w:eastAsia="Cambria"/>
          <w:sz w:val="22"/>
        </w:rPr>
        <w:t>: instituciones financieras no monetarias, seguros y fondos de pensiones, empresas no financieras, hogares e instituciones sin ánimo de lucro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EQUILIBRIO Y DESEQUILIBRIO DE LA BALANZA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Contablemente siempre equilibrada: equilibrio y desequilibrio se entienden en </w:t>
      </w:r>
      <w:r>
        <w:rPr>
          <w:rFonts w:ascii="Cambria" w:hAnsi="Cambria" w:cs="Cambria" w:eastAsia="Cambria"/>
          <w:b/>
          <w:sz w:val="22"/>
        </w:rPr>
        <w:t>sentido económico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Transacciones autónomas</w:t>
      </w:r>
      <w:r>
        <w:rPr>
          <w:rFonts w:ascii="Cambria" w:hAnsi="Cambria" w:cs="Cambria" w:eastAsia="Cambria"/>
          <w:sz w:val="22"/>
        </w:rPr>
        <w:t>: por motivos económicos o políticos, independientes del resto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 e importaciones de bienes y servicios, remesas de emigrantes, inversiones directas y de cartera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Transacciones acomodantes o financiadoras</w:t>
      </w:r>
      <w:r>
        <w:rPr>
          <w:rFonts w:ascii="Cambria" w:hAnsi="Cambria" w:cs="Cambria" w:eastAsia="Cambria"/>
          <w:sz w:val="22"/>
        </w:rPr>
        <w:t>: compensan el desequilibrio de las autónomas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Salidas de reservas, donaciones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Acomodantes: todas las no clasificadas como autónomas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agrupaciones principales de saldos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Saldo de la cuenta corriente</w:t>
      </w:r>
      <w:r>
        <w:rPr>
          <w:rFonts w:ascii="Cambria" w:hAnsi="Cambria" w:cs="Cambria" w:eastAsia="Cambria"/>
          <w:sz w:val="22"/>
        </w:rPr>
        <w:t>: suma de bienes, servicios, renta primaria y secundaria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Ahorro Nacional Bruto − Formación Bruta de Capital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Déficit no necesariamente negativo, pero si es persistente aumenta el endeudamiento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Capacidad (+) o necesidad (−) de financiación</w:t>
      </w:r>
      <w:r>
        <w:rPr>
          <w:rFonts w:ascii="Cambria" w:hAnsi="Cambria" w:cs="Cambria" w:eastAsia="Cambria"/>
          <w:sz w:val="22"/>
        </w:rPr>
        <w:t>: corriente + capital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Contrapartida en la cuenta financiera, tras errores y omisiones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Saldo de liquidaciones oficiales</w:t>
      </w:r>
      <w:r>
        <w:rPr>
          <w:rFonts w:ascii="Cambria" w:hAnsi="Cambria" w:cs="Cambria" w:eastAsia="Cambria"/>
          <w:sz w:val="22"/>
        </w:rPr>
        <w:t>: uso de reservas como ajuste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Importancia reducida por tipos de cambio flexibles y pertenencia a la UEM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Otros saldos analíticos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Balanza básica</w:t>
      </w:r>
      <w:r>
        <w:rPr>
          <w:rFonts w:ascii="Cambria" w:hAnsi="Cambria" w:cs="Cambria" w:eastAsia="Cambria"/>
          <w:sz w:val="22"/>
        </w:rPr>
        <w:t>: corriente más capitales a largo plazo, el riesgo es que algunos sean acomodantes y oculten endeudamiento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Balanza de desarrollo</w:t>
      </w:r>
      <w:r>
        <w:rPr>
          <w:rFonts w:ascii="Cambria" w:hAnsi="Cambria" w:cs="Cambria" w:eastAsia="Cambria"/>
          <w:sz w:val="22"/>
        </w:rPr>
        <w:t>: corriente más inversiones directas extranjeras, sin obligación de devolución, con riesgo de que las principales empresas pasen a capital extranjero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SITUACIÓN ACTUAL DE LA BALANZA DE PAGOS ESPAÑOLA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Datos de avance del Banco de España de </w:t>
      </w:r>
      <w:r>
        <w:rPr>
          <w:rFonts w:ascii="Cambria" w:hAnsi="Cambria" w:cs="Cambria" w:eastAsia="Cambria"/>
          <w:b/>
          <w:sz w:val="22"/>
        </w:rPr>
        <w:t>2025</w:t>
      </w:r>
      <w:r>
        <w:rPr>
          <w:rFonts w:ascii="Cambria" w:hAnsi="Cambria" w:cs="Cambria" w:eastAsia="Cambria"/>
          <w:sz w:val="22"/>
        </w:rPr>
        <w:t xml:space="preserve"> (publicados el 27 de febrero de 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Cuenta corriente</w:t>
      </w:r>
      <w:r>
        <w:rPr>
          <w:rFonts w:ascii="Cambria" w:hAnsi="Cambria" w:cs="Cambria" w:eastAsia="Cambria"/>
          <w:sz w:val="22"/>
        </w:rPr>
        <w:t xml:space="preserve">: superávit de </w:t>
      </w:r>
      <w:r>
        <w:rPr>
          <w:rFonts w:ascii="Cambria" w:hAnsi="Cambria" w:cs="Cambria" w:eastAsia="Cambria"/>
          <w:b/>
          <w:sz w:val="22"/>
        </w:rPr>
        <w:t>49.400 M€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2,9 % del PIB</w:t>
      </w:r>
      <w:r>
        <w:rPr>
          <w:rFonts w:ascii="Cambria" w:hAnsi="Cambria" w:cs="Cambria" w:eastAsia="Cambria"/>
          <w:sz w:val="22"/>
        </w:rPr>
        <w:t>), frente a 50.700 M€ (3,2 %) en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Turismo y viajes</w:t>
      </w:r>
      <w:r>
        <w:rPr>
          <w:rFonts w:ascii="Cambria" w:hAnsi="Cambria" w:cs="Cambria" w:eastAsia="Cambria"/>
          <w:sz w:val="22"/>
        </w:rPr>
        <w:t>: 70.500 M€ (4,2 % del PIB), frente a 68.200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Servicios no turísticos</w:t>
      </w:r>
      <w:r>
        <w:rPr>
          <w:rFonts w:ascii="Cambria" w:hAnsi="Cambria" w:cs="Cambria" w:eastAsia="Cambria"/>
          <w:sz w:val="22"/>
        </w:rPr>
        <w:t>: 43.000 M€ (2,6 %), frente a 32.000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Bienes</w:t>
      </w:r>
      <w:r>
        <w:rPr>
          <w:rFonts w:ascii="Cambria" w:hAnsi="Cambria" w:cs="Cambria" w:eastAsia="Cambria"/>
          <w:sz w:val="22"/>
        </w:rPr>
        <w:t>: déficit de 49.000 M€ (2,9 %), frente a 33.900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Renta primaria</w:t>
      </w:r>
      <w:r>
        <w:rPr>
          <w:rFonts w:ascii="Cambria" w:hAnsi="Cambria" w:cs="Cambria" w:eastAsia="Cambria"/>
          <w:sz w:val="22"/>
        </w:rPr>
        <w:t>: déficit de 1.100 M€, renta secundaria: déficit de 14.000 M€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Cuenta de capital</w:t>
      </w:r>
      <w:r>
        <w:rPr>
          <w:rFonts w:ascii="Cambria" w:hAnsi="Cambria" w:cs="Cambria" w:eastAsia="Cambria"/>
          <w:sz w:val="22"/>
        </w:rPr>
        <w:t xml:space="preserve">: superávit de </w:t>
      </w:r>
      <w:r>
        <w:rPr>
          <w:rFonts w:ascii="Cambria" w:hAnsi="Cambria" w:cs="Cambria" w:eastAsia="Cambria"/>
          <w:b/>
          <w:sz w:val="22"/>
        </w:rPr>
        <w:t>17.200 M€</w:t>
      </w:r>
      <w:r>
        <w:rPr>
          <w:rFonts w:ascii="Cambria" w:hAnsi="Cambria" w:cs="Cambria" w:eastAsia="Cambria"/>
          <w:sz w:val="22"/>
        </w:rPr>
        <w:t xml:space="preserve"> (1,0 % del PIB), frente a 18.100 M€, ligado a fondos UE (</w:t>
      </w:r>
      <w:r>
        <w:rPr>
          <w:rFonts w:ascii="Cambria" w:hAnsi="Cambria" w:cs="Cambria" w:eastAsia="Cambria"/>
          <w:b/>
          <w:sz w:val="22"/>
        </w:rPr>
        <w:t>Next Generation EU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Cuenta financiera excluido el Banco de España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32.900 M€</w:t>
      </w:r>
      <w:r>
        <w:rPr>
          <w:rFonts w:ascii="Cambria" w:hAnsi="Cambria" w:cs="Cambria" w:eastAsia="Cambria"/>
          <w:sz w:val="22"/>
        </w:rPr>
        <w:t xml:space="preserve"> (2,0 % del PIB), frente a 132.100 M€ (8,3 %) en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Caída explicada por la otra inversión: de 106.500 M€ a −10.100 M€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Capacidad de financiación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66.600 M€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4,0 % del PIB</w:t>
      </w:r>
      <w:r>
        <w:rPr>
          <w:rFonts w:ascii="Cambria" w:hAnsi="Cambria" w:cs="Cambria" w:eastAsia="Cambria"/>
          <w:sz w:val="22"/>
        </w:rPr>
        <w:t>), frente a 68.700 M€ (4,3 %)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Ininterrumpida desde </w:t>
      </w:r>
      <w:r>
        <w:rPr>
          <w:rFonts w:ascii="Cambria" w:hAnsi="Cambria" w:cs="Cambria" w:eastAsia="Cambria"/>
          <w:b/>
          <w:sz w:val="22"/>
        </w:rPr>
        <w:t>2013</w:t>
      </w:r>
      <w:r>
        <w:rPr>
          <w:rFonts w:ascii="Cambria" w:hAnsi="Cambria" w:cs="Cambria" w:eastAsia="Cambria"/>
          <w:sz w:val="22"/>
        </w:rPr>
        <w:t>, primer saldo positivo desde 1997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Distinguir </w:t>
      </w:r>
      <w:r>
        <w:rPr>
          <w:rFonts w:ascii="Cambria" w:hAnsi="Cambria" w:cs="Cambria" w:eastAsia="Cambria"/>
          <w:b/>
          <w:sz w:val="22"/>
        </w:rPr>
        <w:t>equilibrio contable</w:t>
      </w:r>
      <w:r>
        <w:rPr>
          <w:rFonts w:ascii="Cambria" w:hAnsi="Cambria" w:cs="Cambria" w:eastAsia="Cambria"/>
          <w:sz w:val="22"/>
        </w:rPr>
        <w:t xml:space="preserve"> (siempre) de </w:t>
      </w:r>
      <w:r>
        <w:rPr>
          <w:rFonts w:ascii="Cambria" w:hAnsi="Cambria" w:cs="Cambria" w:eastAsia="Cambria"/>
          <w:b/>
          <w:sz w:val="22"/>
        </w:rPr>
        <w:t>equilibrio económico</w:t>
      </w:r>
      <w:r>
        <w:rPr>
          <w:rFonts w:ascii="Cambria" w:hAnsi="Cambria" w:cs="Cambria" w:eastAsia="Cambria"/>
          <w:sz w:val="22"/>
        </w:rPr>
        <w:t xml:space="preserve"> (saldos de transacciones autónomas)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deterioro del saldo de mercancías en 2025 compensado por turismo y servicios, capacidad de financiación en torno al </w:t>
      </w:r>
      <w:r>
        <w:rPr>
          <w:rFonts w:ascii="Cambria" w:hAnsi="Cambria" w:cs="Cambria" w:eastAsia="Cambria"/>
          <w:b/>
          <w:sz w:val="22"/>
        </w:rPr>
        <w:t>4 % del PIB</w:t>
      </w:r>
      <w:r>
        <w:rPr>
          <w:rFonts w:ascii="Cambria" w:hAnsi="Cambria" w:cs="Cambria" w:eastAsia="Cambria"/>
          <w:sz w:val="22"/>
        </w:rPr>
        <w:t>, solidez externa desde 2013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Transición al </w:t>
      </w:r>
      <w:r>
        <w:rPr>
          <w:rFonts w:ascii="Cambria" w:hAnsi="Cambria" w:cs="Cambria" w:eastAsia="Cambria"/>
          <w:b/>
          <w:sz w:val="22"/>
        </w:rPr>
        <w:t>BPM7</w:t>
      </w:r>
      <w:r>
        <w:rPr>
          <w:rFonts w:ascii="Cambria" w:hAnsi="Cambria" w:cs="Cambria" w:eastAsia="Cambria"/>
          <w:sz w:val="22"/>
        </w:rPr>
        <w:t>: implementación prevista 2029-2030, adapta el registro a la digitalización y a la sofisticación financiera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 – Balanza de Pagos. Concepto. Presentaciones, metodología y estructura.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 – Balanza de Pagos. Concepto. Presentaciones, metodología y estructura.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