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SPG</w:t>
      </w:r>
      <w:r>
        <w:rPr>
          <w:rFonts w:ascii="Cambria" w:hAnsi="Cambria" w:cs="Cambria" w:eastAsia="Cambria"/>
          <w:sz w:val="22"/>
        </w:rPr>
        <w:t xml:space="preserve">: instrumento </w:t>
      </w:r>
      <w:r>
        <w:rPr>
          <w:rFonts w:ascii="Cambria" w:hAnsi="Cambria" w:cs="Cambria" w:eastAsia="Cambria"/>
          <w:b/>
          <w:sz w:val="22"/>
        </w:rPr>
        <w:t>unilateral y no recíproco</w:t>
      </w:r>
      <w:r>
        <w:rPr>
          <w:rFonts w:ascii="Cambria" w:hAnsi="Cambria" w:cs="Cambria" w:eastAsia="Cambria"/>
          <w:sz w:val="22"/>
        </w:rPr>
        <w:t xml:space="preserve"> de la política comercial común (</w:t>
      </w:r>
      <w:r>
        <w:rPr>
          <w:rFonts w:ascii="Cambria" w:hAnsi="Cambria" w:cs="Cambria" w:eastAsia="Cambria"/>
          <w:b/>
          <w:sz w:val="22"/>
        </w:rPr>
        <w:t>art. 207 TFUE</w:t>
      </w:r>
      <w:r>
        <w:rPr>
          <w:rFonts w:ascii="Cambria" w:hAnsi="Cambria" w:cs="Cambria" w:eastAsia="Cambria"/>
          <w:sz w:val="22"/>
        </w:rPr>
        <w:t xml:space="preserve">), preferencias arancelarias a países en desarrollo desde </w:t>
      </w:r>
      <w:r>
        <w:rPr>
          <w:rFonts w:ascii="Cambria" w:hAnsi="Cambria" w:cs="Cambria" w:eastAsia="Cambria"/>
          <w:b/>
          <w:sz w:val="22"/>
        </w:rPr>
        <w:t>1971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Informe conjunto (</w:t>
      </w:r>
      <w:r>
        <w:rPr>
          <w:rFonts w:ascii="Cambria" w:hAnsi="Cambria" w:cs="Cambria" w:eastAsia="Cambria"/>
          <w:b/>
          <w:sz w:val="22"/>
        </w:rPr>
        <w:t>julio 2026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65</w:t>
      </w:r>
      <w:r>
        <w:rPr>
          <w:rFonts w:ascii="Cambria" w:hAnsi="Cambria" w:cs="Cambria" w:eastAsia="Cambria"/>
          <w:sz w:val="22"/>
        </w:rPr>
        <w:t xml:space="preserve"> beneficiarios, </w:t>
      </w:r>
      <w:r>
        <w:rPr>
          <w:rFonts w:ascii="Cambria" w:hAnsi="Cambria" w:cs="Cambria" w:eastAsia="Cambria"/>
          <w:b/>
          <w:sz w:val="22"/>
        </w:rPr>
        <w:t>44</w:t>
      </w:r>
      <w:r>
        <w:rPr>
          <w:rFonts w:ascii="Cambria" w:hAnsi="Cambria" w:cs="Cambria" w:eastAsia="Cambria"/>
          <w:sz w:val="22"/>
        </w:rPr>
        <w:t xml:space="preserve"> PMA, más de </w:t>
      </w:r>
      <w:r>
        <w:rPr>
          <w:rFonts w:ascii="Cambria" w:hAnsi="Cambria" w:cs="Cambria" w:eastAsia="Cambria"/>
          <w:b/>
          <w:sz w:val="22"/>
        </w:rPr>
        <w:t>3.000 millones</w:t>
      </w:r>
      <w:r>
        <w:rPr>
          <w:rFonts w:ascii="Cambria" w:hAnsi="Cambria" w:cs="Cambria" w:eastAsia="Cambria"/>
          <w:sz w:val="22"/>
        </w:rPr>
        <w:t xml:space="preserve"> de personas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2024: casi </w:t>
      </w:r>
      <w:r>
        <w:rPr>
          <w:rFonts w:ascii="Cambria" w:hAnsi="Cambria" w:cs="Cambria" w:eastAsia="Cambria"/>
          <w:b/>
          <w:sz w:val="22"/>
        </w:rPr>
        <w:t>60.000 M€</w:t>
      </w:r>
      <w:r>
        <w:rPr>
          <w:rFonts w:ascii="Cambria" w:hAnsi="Cambria" w:cs="Cambria" w:eastAsia="Cambria"/>
          <w:sz w:val="22"/>
        </w:rPr>
        <w:t xml:space="preserve"> importados con preferencias, ahorro arancelario de </w:t>
      </w:r>
      <w:r>
        <w:rPr>
          <w:rFonts w:ascii="Cambria" w:hAnsi="Cambria" w:cs="Cambria" w:eastAsia="Cambria"/>
          <w:b/>
          <w:sz w:val="22"/>
        </w:rPr>
        <w:t>5.000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Principales beneficiarios: </w:t>
      </w:r>
      <w:r>
        <w:rPr>
          <w:rFonts w:ascii="Cambria" w:hAnsi="Cambria" w:cs="Cambria" w:eastAsia="Cambria"/>
          <w:b/>
          <w:sz w:val="22"/>
        </w:rPr>
        <w:t>Bangladés, India y Pakistán</w:t>
      </w:r>
      <w:r>
        <w:rPr>
          <w:rFonts w:ascii="Cambria" w:hAnsi="Cambria" w:cs="Cambria" w:eastAsia="Cambria"/>
          <w:sz w:val="22"/>
        </w:rPr>
        <w:t xml:space="preserve">. Confección: </w:t>
      </w:r>
      <w:r>
        <w:rPr>
          <w:rFonts w:ascii="Cambria" w:hAnsi="Cambria" w:cs="Cambria" w:eastAsia="Cambria"/>
          <w:b/>
          <w:sz w:val="22"/>
        </w:rPr>
        <w:t>59 %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reducir la pobreza y promover desarrollo sostenible, derechos humanos y laborales, medio ambiente y buena gobernanza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Coexiste con los </w:t>
      </w:r>
      <w:r>
        <w:rPr>
          <w:rFonts w:ascii="Cambria" w:hAnsi="Cambria" w:cs="Cambria" w:eastAsia="Cambria"/>
          <w:b/>
          <w:sz w:val="22"/>
        </w:rPr>
        <w:t>AAE</w:t>
      </w:r>
      <w:r>
        <w:rPr>
          <w:rFonts w:ascii="Cambria" w:hAnsi="Cambria" w:cs="Cambria" w:eastAsia="Cambria"/>
          <w:sz w:val="22"/>
        </w:rPr>
        <w:t xml:space="preserve"> con países ACP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Sustituyen a Lomé y Cotonú. Compatibles con el </w:t>
      </w:r>
      <w:r>
        <w:rPr>
          <w:rFonts w:ascii="Cambria" w:hAnsi="Cambria" w:cs="Cambria" w:eastAsia="Cambria"/>
          <w:b/>
          <w:sz w:val="22"/>
        </w:rPr>
        <w:t>art. XXIV GATT</w:t>
      </w:r>
      <w:r>
        <w:rPr>
          <w:rFonts w:ascii="Cambria" w:hAnsi="Cambria" w:cs="Cambria" w:eastAsia="Cambria"/>
          <w:sz w:val="22"/>
        </w:rPr>
        <w:t xml:space="preserve">. Primero: </w:t>
      </w:r>
      <w:r>
        <w:rPr>
          <w:rFonts w:ascii="Cambria" w:hAnsi="Cambria" w:cs="Cambria" w:eastAsia="Cambria"/>
          <w:b/>
          <w:sz w:val="22"/>
        </w:rPr>
        <w:t>CARIFORUM</w:t>
      </w:r>
      <w:r>
        <w:rPr>
          <w:rFonts w:ascii="Cambria" w:hAnsi="Cambria" w:cs="Cambria" w:eastAsia="Cambria"/>
          <w:sz w:val="22"/>
        </w:rPr>
        <w:t xml:space="preserve"> (2008)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Acuerdo de Samoa</w:t>
      </w:r>
      <w:r>
        <w:rPr>
          <w:rFonts w:ascii="Cambria" w:hAnsi="Cambria" w:cs="Cambria" w:eastAsia="Cambria"/>
          <w:sz w:val="22"/>
        </w:rPr>
        <w:t xml:space="preserve"> (firmado 15 de noviembre de 2023, provisional desde 1 de enero de 2024) sustituye a Cotonú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Estructura: antecedentes, </w:t>
      </w:r>
      <w:r>
        <w:rPr>
          <w:rFonts w:ascii="Cambria" w:hAnsi="Cambria" w:cs="Cambria" w:eastAsia="Cambria"/>
          <w:b/>
          <w:sz w:val="22"/>
        </w:rPr>
        <w:t>Reglamento (UE) 978/2012</w:t>
      </w:r>
      <w:r>
        <w:rPr>
          <w:rFonts w:ascii="Cambria" w:hAnsi="Cambria" w:cs="Cambria" w:eastAsia="Cambria"/>
          <w:sz w:val="22"/>
        </w:rPr>
        <w:t xml:space="preserve"> (hasta 31 de diciembre de 2026) y nuevo SPG </w:t>
      </w:r>
      <w:r>
        <w:rPr>
          <w:rFonts w:ascii="Cambria" w:hAnsi="Cambria" w:cs="Cambria" w:eastAsia="Cambria"/>
          <w:b/>
          <w:sz w:val="22"/>
        </w:rPr>
        <w:t>Reglamento (UE) 2026/1395</w:t>
      </w:r>
      <w:r>
        <w:rPr>
          <w:rFonts w:ascii="Cambria" w:hAnsi="Cambria" w:cs="Cambria" w:eastAsia="Cambria"/>
          <w:sz w:val="22"/>
        </w:rPr>
        <w:t xml:space="preserve"> (desde 1 de enero de 2027)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ANTECEDENTES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Origen y fundamento jurídico del SPG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Reivindicación impulsada por </w:t>
      </w:r>
      <w:r>
        <w:rPr>
          <w:rFonts w:ascii="Cambria" w:hAnsi="Cambria" w:cs="Cambria" w:eastAsia="Cambria"/>
          <w:b/>
          <w:sz w:val="22"/>
        </w:rPr>
        <w:t>Raúl Prebisch</w:t>
      </w:r>
      <w:r>
        <w:rPr>
          <w:rFonts w:ascii="Cambria" w:hAnsi="Cambria" w:cs="Cambria" w:eastAsia="Cambria"/>
          <w:sz w:val="22"/>
        </w:rPr>
        <w:t xml:space="preserve"> (UNCTAD): </w:t>
      </w:r>
      <w:r>
        <w:rPr>
          <w:rFonts w:ascii="Cambria" w:hAnsi="Cambria" w:cs="Cambria" w:eastAsia="Cambria"/>
          <w:b/>
          <w:sz w:val="22"/>
        </w:rPr>
        <w:t>equidad vertical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II UNCTAD</w:t>
      </w:r>
      <w:r>
        <w:rPr>
          <w:rFonts w:ascii="Cambria" w:hAnsi="Cambria" w:cs="Cambria" w:eastAsia="Cambria"/>
          <w:sz w:val="22"/>
        </w:rPr>
        <w:t xml:space="preserve"> (Nueva Delhi, 1968): sistema no recíproco y no discriminatorio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Exención GATT 1971</w:t>
      </w:r>
      <w:r>
        <w:rPr>
          <w:rFonts w:ascii="Cambria" w:hAnsi="Cambria" w:cs="Cambria" w:eastAsia="Cambria"/>
          <w:sz w:val="22"/>
        </w:rPr>
        <w:t xml:space="preserve"> (diez años): excepción a la cláusula de nación más favorecida (</w:t>
      </w:r>
      <w:r>
        <w:rPr>
          <w:rFonts w:ascii="Cambria" w:hAnsi="Cambria" w:cs="Cambria" w:eastAsia="Cambria"/>
          <w:b/>
          <w:sz w:val="22"/>
        </w:rPr>
        <w:t>art. I GATT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Cláusula de Habilitación</w:t>
      </w:r>
      <w:r>
        <w:rPr>
          <w:rFonts w:ascii="Cambria" w:hAnsi="Cambria" w:cs="Cambria" w:eastAsia="Cambria"/>
          <w:sz w:val="22"/>
        </w:rPr>
        <w:t xml:space="preserve"> (1979, Ronda Tokio): fundamento permanente, base actual en la 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Primer esquema: Comunidad Europea, </w:t>
      </w:r>
      <w:r>
        <w:rPr>
          <w:rFonts w:ascii="Cambria" w:hAnsi="Cambria" w:cs="Cambria" w:eastAsia="Cambria"/>
          <w:b/>
          <w:sz w:val="22"/>
        </w:rPr>
        <w:t>1 de julio de 1971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Características del SPG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Autónomo</w:t>
      </w:r>
      <w:r>
        <w:rPr>
          <w:rFonts w:ascii="Cambria" w:hAnsi="Cambria" w:cs="Cambria" w:eastAsia="Cambria"/>
          <w:sz w:val="22"/>
        </w:rPr>
        <w:t xml:space="preserve"> (unilateral) y </w:t>
      </w:r>
      <w:r>
        <w:rPr>
          <w:rFonts w:ascii="Cambria" w:hAnsi="Cambria" w:cs="Cambria" w:eastAsia="Cambria"/>
          <w:b/>
          <w:sz w:val="22"/>
        </w:rPr>
        <w:t>no convencional</w:t>
      </w:r>
      <w:r>
        <w:rPr>
          <w:rFonts w:ascii="Cambria" w:hAnsi="Cambria" w:cs="Cambria" w:eastAsia="Cambria"/>
          <w:sz w:val="22"/>
        </w:rPr>
        <w:t>, modificable sin negociación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 recíproco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En principio </w:t>
      </w:r>
      <w:r>
        <w:rPr>
          <w:rFonts w:ascii="Cambria" w:hAnsi="Cambria" w:cs="Cambria" w:eastAsia="Cambria"/>
          <w:b/>
          <w:sz w:val="22"/>
        </w:rPr>
        <w:t>no discriminatorio</w:t>
      </w:r>
      <w:r>
        <w:rPr>
          <w:rFonts w:ascii="Cambria" w:hAnsi="Cambria" w:cs="Cambria" w:eastAsia="Cambria"/>
          <w:sz w:val="22"/>
        </w:rPr>
        <w:t>, pero el donante determina los beneficiarios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Esquemas</w:t>
      </w:r>
      <w:r>
        <w:rPr>
          <w:rFonts w:ascii="Cambria" w:hAnsi="Cambria" w:cs="Cambria" w:eastAsia="Cambria"/>
          <w:sz w:val="22"/>
        </w:rPr>
        <w:t>: listas de países, productos y preferencias (franquicia o modulación)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Mecanismos restrictivos: </w:t>
      </w:r>
      <w:r>
        <w:rPr>
          <w:rFonts w:ascii="Cambria" w:hAnsi="Cambria" w:cs="Cambria" w:eastAsia="Cambria"/>
          <w:b/>
          <w:sz w:val="22"/>
        </w:rPr>
        <w:t>graduación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salvaguardias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normas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DS246 CE, Preferencias arancelarias</w:t>
      </w:r>
      <w:r>
        <w:rPr>
          <w:rFonts w:ascii="Cambria" w:hAnsi="Cambria" w:cs="Cambria" w:eastAsia="Cambria"/>
          <w:sz w:val="22"/>
        </w:rPr>
        <w:t xml:space="preserve"> (India, 2004): preferencias adicionales a todos los países en situación similar con criterios objetivos. Llevó a crear el </w:t>
      </w:r>
      <w:r>
        <w:rPr>
          <w:rFonts w:ascii="Cambria" w:hAnsi="Cambria" w:cs="Cambria" w:eastAsia="Cambria"/>
          <w:b/>
          <w:sz w:val="22"/>
        </w:rPr>
        <w:t>SPG+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Evolución del SPG de la Unión hasta 2013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2001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TMA/EBA</w:t>
      </w:r>
      <w:r>
        <w:rPr>
          <w:rFonts w:ascii="Cambria" w:hAnsi="Cambria" w:cs="Cambria" w:eastAsia="Cambria"/>
          <w:sz w:val="22"/>
        </w:rPr>
        <w:t>, libre de derechos y contingentes para PMA salvo armas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980/2005</w:t>
      </w:r>
      <w:r>
        <w:rPr>
          <w:rFonts w:ascii="Cambria" w:hAnsi="Cambria" w:cs="Cambria" w:eastAsia="Cambria"/>
          <w:sz w:val="22"/>
        </w:rPr>
        <w:t xml:space="preserve">: tres regímenes (general, </w:t>
      </w:r>
      <w:r>
        <w:rPr>
          <w:rFonts w:ascii="Cambria" w:hAnsi="Cambria" w:cs="Cambria" w:eastAsia="Cambria"/>
          <w:b/>
          <w:sz w:val="22"/>
        </w:rPr>
        <w:t>SPG+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TMA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732/2008</w:t>
      </w:r>
      <w:r>
        <w:rPr>
          <w:rFonts w:ascii="Cambria" w:hAnsi="Cambria" w:cs="Cambria" w:eastAsia="Cambria"/>
          <w:sz w:val="22"/>
        </w:rPr>
        <w:t xml:space="preserve">, prorrogado por </w:t>
      </w:r>
      <w:r>
        <w:rPr>
          <w:rFonts w:ascii="Cambria" w:hAnsi="Cambria" w:cs="Cambria" w:eastAsia="Cambria"/>
          <w:b/>
          <w:sz w:val="22"/>
        </w:rPr>
        <w:t>Reglamento (UE) 512/2011</w:t>
      </w:r>
      <w:r>
        <w:rPr>
          <w:rFonts w:ascii="Cambria" w:hAnsi="Cambria" w:cs="Cambria" w:eastAsia="Cambria"/>
          <w:sz w:val="22"/>
        </w:rPr>
        <w:t xml:space="preserve"> hasta 31 de diciembre de 2013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Pérdida de eficacia: erosión de preferencias, barreras no arancelarias, discrecionalidad, concentración en emergentes (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 antes de 2012), complejidad del origen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SPG DEL REGLAMENTO (UE) 978/2012 (2014-2026)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La reforma de 2012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Cuatro opciones (A a D), elegida la </w:t>
      </w:r>
      <w:r>
        <w:rPr>
          <w:rFonts w:ascii="Cambria" w:hAnsi="Cambria" w:cs="Cambria" w:eastAsia="Cambria"/>
          <w:b/>
          <w:sz w:val="22"/>
        </w:rPr>
        <w:t>C</w:t>
      </w:r>
      <w:r>
        <w:rPr>
          <w:rFonts w:ascii="Cambria" w:hAnsi="Cambria" w:cs="Cambria" w:eastAsia="Cambria"/>
          <w:sz w:val="22"/>
        </w:rPr>
        <w:t xml:space="preserve"> (rediseño parcial)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978/2012</w:t>
      </w:r>
      <w:r>
        <w:rPr>
          <w:rFonts w:ascii="Cambria" w:hAnsi="Cambria" w:cs="Cambria" w:eastAsia="Cambria"/>
          <w:sz w:val="22"/>
        </w:rPr>
        <w:t xml:space="preserve">: DOUE 31 de octubre de 2012, preferencias desde </w:t>
      </w:r>
      <w:r>
        <w:rPr>
          <w:rFonts w:ascii="Cambria" w:hAnsi="Cambria" w:cs="Cambria" w:eastAsia="Cambria"/>
          <w:b/>
          <w:sz w:val="22"/>
        </w:rPr>
        <w:t>1 de enero de 2014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Novedades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Preferencias concentradas en quien más las necesita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Graduación revisada, no aplicable a SPG+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SPG+ más flexible, seguimiento más riguroso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Retirada y salvaguardia más transparentes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Vigencia inicial de diez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Lisboa: listas y umbrales por </w:t>
      </w:r>
      <w:r>
        <w:rPr>
          <w:rFonts w:ascii="Cambria" w:hAnsi="Cambria" w:cs="Cambria" w:eastAsia="Cambria"/>
          <w:b/>
          <w:sz w:val="22"/>
        </w:rPr>
        <w:t>actos delegados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art. 290 TFUE</w:t>
      </w:r>
      <w:r>
        <w:rPr>
          <w:rFonts w:ascii="Cambria" w:hAnsi="Cambria" w:cs="Cambria" w:eastAsia="Cambria"/>
          <w:sz w:val="22"/>
        </w:rPr>
        <w:t xml:space="preserve">), salvaguardias por </w:t>
      </w:r>
      <w:r>
        <w:rPr>
          <w:rFonts w:ascii="Cambria" w:hAnsi="Cambria" w:cs="Cambria" w:eastAsia="Cambria"/>
          <w:b/>
          <w:sz w:val="22"/>
        </w:rPr>
        <w:t>actos de ejecución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2023/2663</w:t>
      </w:r>
      <w:r>
        <w:rPr>
          <w:rFonts w:ascii="Cambria" w:hAnsi="Cambria" w:cs="Cambria" w:eastAsia="Cambria"/>
          <w:sz w:val="22"/>
        </w:rPr>
        <w:t xml:space="preserve"> prorrogó el 978/2012 hasta 31 de diciembre de 2027, pero será derogado el 1 de enero de 2027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Países beneficiarios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 I</w:t>
      </w:r>
      <w:r>
        <w:rPr>
          <w:rFonts w:ascii="Cambria" w:hAnsi="Cambria" w:cs="Cambria" w:eastAsia="Cambria"/>
          <w:sz w:val="22"/>
        </w:rPr>
        <w:t>: países elegibles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Anexo II</w:t>
      </w:r>
      <w:r>
        <w:rPr>
          <w:rFonts w:ascii="Cambria" w:hAnsi="Cambria" w:cs="Cambria" w:eastAsia="Cambria"/>
          <w:sz w:val="22"/>
        </w:rPr>
        <w:t>: beneficiarios del régimen general, revisado anualmente. Se excluye 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Países de </w:t>
      </w:r>
      <w:r>
        <w:rPr>
          <w:rFonts w:ascii="Cambria" w:hAnsi="Cambria" w:cs="Cambria" w:eastAsia="Cambria"/>
          <w:b/>
          <w:sz w:val="22"/>
        </w:rPr>
        <w:t>renta alta o media-alta</w:t>
      </w:r>
      <w:r>
        <w:rPr>
          <w:rFonts w:ascii="Cambria" w:hAnsi="Cambria" w:cs="Cambria" w:eastAsia="Cambria"/>
          <w:sz w:val="22"/>
        </w:rPr>
        <w:t xml:space="preserve"> del Banco Mundial </w:t>
      </w:r>
      <w:r>
        <w:rPr>
          <w:rFonts w:ascii="Cambria" w:hAnsi="Cambria" w:cs="Cambria" w:eastAsia="Cambria"/>
          <w:b/>
          <w:sz w:val="22"/>
        </w:rPr>
        <w:t>tres años consecutivos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Países con </w:t>
      </w:r>
      <w:r>
        <w:rPr>
          <w:rFonts w:ascii="Cambria" w:hAnsi="Cambria" w:cs="Cambria" w:eastAsia="Cambria"/>
          <w:b/>
          <w:sz w:val="22"/>
        </w:rPr>
        <w:t>acuerdo preferencial</w:t>
      </w:r>
      <w:r>
        <w:rPr>
          <w:rFonts w:ascii="Cambria" w:hAnsi="Cambria" w:cs="Cambria" w:eastAsia="Cambria"/>
          <w:sz w:val="22"/>
        </w:rPr>
        <w:t xml:space="preserve"> de acceso igual o mejor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Transición: </w:t>
      </w:r>
      <w:r>
        <w:rPr>
          <w:rFonts w:ascii="Cambria" w:hAnsi="Cambria" w:cs="Cambria" w:eastAsia="Cambria"/>
          <w:b/>
          <w:sz w:val="22"/>
        </w:rPr>
        <w:t>un año</w:t>
      </w:r>
      <w:r>
        <w:rPr>
          <w:rFonts w:ascii="Cambria" w:hAnsi="Cambria" w:cs="Cambria" w:eastAsia="Cambria"/>
          <w:sz w:val="22"/>
        </w:rPr>
        <w:t xml:space="preserve"> por renta, </w:t>
      </w:r>
      <w:r>
        <w:rPr>
          <w:rFonts w:ascii="Cambria" w:hAnsi="Cambria" w:cs="Cambria" w:eastAsia="Cambria"/>
          <w:b/>
          <w:sz w:val="22"/>
        </w:rPr>
        <w:t>dos años</w:t>
      </w:r>
      <w:r>
        <w:rPr>
          <w:rFonts w:ascii="Cambria" w:hAnsi="Cambria" w:cs="Cambria" w:eastAsia="Cambria"/>
          <w:sz w:val="22"/>
        </w:rPr>
        <w:t xml:space="preserve"> por acuerdo de libre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 </w:t>
      </w:r>
      <w:r>
        <w:rPr>
          <w:rFonts w:ascii="Cambria" w:hAnsi="Cambria" w:cs="Cambria" w:eastAsia="Cambria"/>
          <w:b/>
          <w:sz w:val="22"/>
        </w:rPr>
        <w:t>176</w:t>
      </w:r>
      <w:r>
        <w:rPr>
          <w:rFonts w:ascii="Cambria" w:hAnsi="Cambria" w:cs="Cambria" w:eastAsia="Cambria"/>
          <w:sz w:val="22"/>
        </w:rPr>
        <w:t xml:space="preserve"> países y territorios a </w:t>
      </w:r>
      <w:r>
        <w:rPr>
          <w:rFonts w:ascii="Cambria" w:hAnsi="Cambria" w:cs="Cambria" w:eastAsia="Cambria"/>
          <w:b/>
          <w:sz w:val="22"/>
        </w:rPr>
        <w:t>65</w:t>
      </w:r>
      <w:r>
        <w:rPr>
          <w:rFonts w:ascii="Cambria" w:hAnsi="Cambria" w:cs="Cambria" w:eastAsia="Cambria"/>
          <w:sz w:val="22"/>
        </w:rPr>
        <w:t xml:space="preserve"> hoy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SPG estándar</w:t>
      </w:r>
      <w:r>
        <w:rPr>
          <w:rFonts w:ascii="Cambria" w:hAnsi="Cambria" w:cs="Cambria" w:eastAsia="Cambria"/>
          <w:sz w:val="22"/>
        </w:rPr>
        <w:t>: 11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SPG+</w:t>
      </w:r>
      <w:r>
        <w:rPr>
          <w:rFonts w:ascii="Cambria" w:hAnsi="Cambria" w:cs="Cambria" w:eastAsia="Cambria"/>
          <w:sz w:val="22"/>
        </w:rPr>
        <w:t>: 8 (Bolivia, Cabo Verde, Filipinas, Kirguistán, Mongolia, Pakistán, Sri Lanka, Uzbekistán)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TMA</w:t>
      </w:r>
      <w:r>
        <w:rPr>
          <w:rFonts w:ascii="Cambria" w:hAnsi="Cambria" w:cs="Cambria" w:eastAsia="Cambria"/>
          <w:sz w:val="22"/>
        </w:rPr>
        <w:t>: 46 países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Productos y preferencias: los tres regímenes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Solo productos con derechos NMF. Estándar y SPG+ cubren unos </w:t>
      </w:r>
      <w:r>
        <w:rPr>
          <w:rFonts w:ascii="Cambria" w:hAnsi="Cambria" w:cs="Cambria" w:eastAsia="Cambria"/>
          <w:b/>
          <w:sz w:val="22"/>
        </w:rPr>
        <w:t>dos tercios</w:t>
      </w:r>
      <w:r>
        <w:rPr>
          <w:rFonts w:ascii="Cambria" w:hAnsi="Cambria" w:cs="Cambria" w:eastAsia="Cambria"/>
          <w:sz w:val="22"/>
        </w:rPr>
        <w:t xml:space="preserve"> de las líneas arancelarias. Productos </w:t>
      </w:r>
      <w:r>
        <w:rPr>
          <w:rFonts w:ascii="Cambria" w:hAnsi="Cambria" w:cs="Cambria" w:eastAsia="Cambria"/>
          <w:b/>
          <w:sz w:val="22"/>
        </w:rPr>
        <w:t>sensibles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no sensibles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Régimen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 sensibles: suspensión de derechos ad valorem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Sensibles: reducción de </w:t>
      </w:r>
      <w:r>
        <w:rPr>
          <w:rFonts w:ascii="Cambria" w:hAnsi="Cambria" w:cs="Cambria" w:eastAsia="Cambria"/>
          <w:b/>
          <w:sz w:val="22"/>
        </w:rPr>
        <w:t>3,5 puntos</w:t>
      </w:r>
      <w:r>
        <w:rPr>
          <w:rFonts w:ascii="Cambria" w:hAnsi="Cambria" w:cs="Cambria" w:eastAsia="Cambria"/>
          <w:sz w:val="22"/>
        </w:rPr>
        <w:t xml:space="preserve"> ad valorem (</w:t>
      </w:r>
      <w:r>
        <w:rPr>
          <w:rFonts w:ascii="Cambria" w:hAnsi="Cambria" w:cs="Cambria" w:eastAsia="Cambria"/>
          <w:b/>
          <w:sz w:val="22"/>
        </w:rPr>
        <w:t>20 %</w:t>
      </w:r>
      <w:r>
        <w:rPr>
          <w:rFonts w:ascii="Cambria" w:hAnsi="Cambria" w:cs="Cambria" w:eastAsia="Cambria"/>
          <w:sz w:val="22"/>
        </w:rPr>
        <w:t xml:space="preserve"> textiles y confección) y </w:t>
      </w:r>
      <w:r>
        <w:rPr>
          <w:rFonts w:ascii="Cambria" w:hAnsi="Cambria" w:cs="Cambria" w:eastAsia="Cambria"/>
          <w:b/>
          <w:sz w:val="22"/>
        </w:rPr>
        <w:t>30 %</w:t>
      </w:r>
      <w:r>
        <w:rPr>
          <w:rFonts w:ascii="Cambria" w:hAnsi="Cambria" w:cs="Cambria" w:eastAsia="Cambria"/>
          <w:sz w:val="22"/>
        </w:rPr>
        <w:t xml:space="preserve"> en específicos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SPG+</w:t>
      </w:r>
      <w:r>
        <w:rPr>
          <w:rFonts w:ascii="Cambria" w:hAnsi="Cambria" w:cs="Cambria" w:eastAsia="Cambria"/>
          <w:sz w:val="22"/>
        </w:rPr>
        <w:t>: suspende derechos ad valorem y específicos, incluso sensibles. Requisitos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Vulnerabilidad</w:t>
      </w:r>
      <w:r>
        <w:rPr>
          <w:rFonts w:ascii="Cambria" w:hAnsi="Cambria" w:cs="Cambria" w:eastAsia="Cambria"/>
          <w:sz w:val="22"/>
        </w:rPr>
        <w:t xml:space="preserve">: siete secciones con más del </w:t>
      </w:r>
      <w:r>
        <w:rPr>
          <w:rFonts w:ascii="Cambria" w:hAnsi="Cambria" w:cs="Cambria" w:eastAsia="Cambria"/>
          <w:b/>
          <w:sz w:val="22"/>
        </w:rPr>
        <w:t>75 %</w:t>
      </w:r>
      <w:r>
        <w:rPr>
          <w:rFonts w:ascii="Cambria" w:hAnsi="Cambria" w:cs="Cambria" w:eastAsia="Cambria"/>
          <w:sz w:val="22"/>
        </w:rPr>
        <w:t xml:space="preserve"> de las exportaciones SPG y cuota inferior al </w:t>
      </w:r>
      <w:r>
        <w:rPr>
          <w:rFonts w:ascii="Cambria" w:hAnsi="Cambria" w:cs="Cambria" w:eastAsia="Cambria"/>
          <w:b/>
          <w:sz w:val="22"/>
        </w:rPr>
        <w:t>2 %</w:t>
      </w:r>
      <w:r>
        <w:rPr>
          <w:rFonts w:ascii="Cambria" w:hAnsi="Cambria" w:cs="Cambria" w:eastAsia="Cambria"/>
          <w:sz w:val="22"/>
        </w:rPr>
        <w:t xml:space="preserve"> (elevada al </w:t>
      </w:r>
      <w:r>
        <w:rPr>
          <w:rFonts w:ascii="Cambria" w:hAnsi="Cambria" w:cs="Cambria" w:eastAsia="Cambria"/>
          <w:b/>
          <w:sz w:val="22"/>
        </w:rPr>
        <w:t>6,5 %</w:t>
      </w:r>
      <w:r>
        <w:rPr>
          <w:rFonts w:ascii="Cambria" w:hAnsi="Cambria" w:cs="Cambria" w:eastAsia="Cambria"/>
          <w:sz w:val="22"/>
        </w:rPr>
        <w:t xml:space="preserve"> por </w:t>
      </w:r>
      <w:r>
        <w:rPr>
          <w:rFonts w:ascii="Cambria" w:hAnsi="Cambria" w:cs="Cambria" w:eastAsia="Cambria"/>
          <w:b/>
          <w:sz w:val="22"/>
        </w:rPr>
        <w:t>Reglamento Delegado (UE) 2015/602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Ratificar y aplicar los </w:t>
      </w:r>
      <w:r>
        <w:rPr>
          <w:rFonts w:ascii="Cambria" w:hAnsi="Cambria" w:cs="Cambria" w:eastAsia="Cambria"/>
          <w:b/>
          <w:sz w:val="22"/>
        </w:rPr>
        <w:t>27 convenios</w:t>
      </w:r>
      <w:r>
        <w:rPr>
          <w:rFonts w:ascii="Cambria" w:hAnsi="Cambria" w:cs="Cambria" w:eastAsia="Cambria"/>
          <w:sz w:val="22"/>
        </w:rPr>
        <w:t xml:space="preserve"> del anexo VIII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Compromiso de mantenerlos y cooperar con el seguimiento. Informe bienal. Carga de la prueba en el beneficiario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TMA/EBA</w:t>
      </w:r>
      <w:r>
        <w:rPr>
          <w:rFonts w:ascii="Cambria" w:hAnsi="Cambria" w:cs="Cambria" w:eastAsia="Cambria"/>
          <w:sz w:val="22"/>
        </w:rPr>
        <w:t>: libre de derechos y contingentes para PMA salvo armas y municiones (capítulo 93). Incluye arroz y azúcar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Graduación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Retira preferencias a una </w:t>
      </w:r>
      <w:r>
        <w:rPr>
          <w:rFonts w:ascii="Cambria" w:hAnsi="Cambria" w:cs="Cambria" w:eastAsia="Cambria"/>
          <w:b/>
          <w:sz w:val="22"/>
        </w:rPr>
        <w:t>sección de productos</w:t>
      </w:r>
      <w:r>
        <w:rPr>
          <w:rFonts w:ascii="Cambria" w:hAnsi="Cambria" w:cs="Cambria" w:eastAsia="Cambria"/>
          <w:sz w:val="22"/>
        </w:rPr>
        <w:t xml:space="preserve"> de un país competitivo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Importaciones medias de la sección </w:t>
      </w:r>
      <w:r>
        <w:rPr>
          <w:rFonts w:ascii="Cambria" w:hAnsi="Cambria" w:cs="Cambria" w:eastAsia="Cambria"/>
          <w:b/>
          <w:sz w:val="22"/>
        </w:rPr>
        <w:t>tres años consecutivos</w:t>
      </w:r>
      <w:r>
        <w:rPr>
          <w:rFonts w:ascii="Cambria" w:hAnsi="Cambria" w:cs="Cambria" w:eastAsia="Cambria"/>
          <w:sz w:val="22"/>
        </w:rPr>
        <w:t xml:space="preserve"> por encima de un porcentaje de las de todos los beneficiarios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32 secciones</w:t>
      </w:r>
      <w:r>
        <w:rPr>
          <w:rFonts w:ascii="Cambria" w:hAnsi="Cambria" w:cs="Cambria" w:eastAsia="Cambria"/>
          <w:sz w:val="22"/>
        </w:rPr>
        <w:t>, sin la cláusula del 50 %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Umbrales: </w:t>
      </w:r>
      <w:r>
        <w:rPr>
          <w:rFonts w:ascii="Cambria" w:hAnsi="Cambria" w:cs="Cambria" w:eastAsia="Cambria"/>
          <w:b/>
          <w:sz w:val="22"/>
        </w:rPr>
        <w:t>57 %</w:t>
      </w:r>
      <w:r>
        <w:rPr>
          <w:rFonts w:ascii="Cambria" w:hAnsi="Cambria" w:cs="Cambria" w:eastAsia="Cambria"/>
          <w:sz w:val="22"/>
        </w:rPr>
        <w:t xml:space="preserve"> general y </w:t>
      </w:r>
      <w:r>
        <w:rPr>
          <w:rFonts w:ascii="Cambria" w:hAnsi="Cambria" w:cs="Cambria" w:eastAsia="Cambria"/>
          <w:b/>
          <w:sz w:val="22"/>
        </w:rPr>
        <w:t>47,2 %</w:t>
      </w:r>
      <w:r>
        <w:rPr>
          <w:rFonts w:ascii="Cambria" w:hAnsi="Cambria" w:cs="Cambria" w:eastAsia="Cambria"/>
          <w:sz w:val="22"/>
        </w:rPr>
        <w:t xml:space="preserve"> textiles y confección (</w:t>
      </w:r>
      <w:r>
        <w:rPr>
          <w:rFonts w:ascii="Cambria" w:hAnsi="Cambria" w:cs="Cambria" w:eastAsia="Cambria"/>
          <w:b/>
          <w:sz w:val="22"/>
        </w:rPr>
        <w:t>Reglamento Delegado (UE) 2015/1978</w:t>
      </w:r>
      <w:r>
        <w:rPr>
          <w:rFonts w:ascii="Cambria" w:hAnsi="Cambria" w:cs="Cambria" w:eastAsia="Cambria"/>
          <w:sz w:val="22"/>
        </w:rPr>
        <w:t xml:space="preserve">). </w:t>
      </w:r>
      <w:r>
        <w:rPr>
          <w:rFonts w:ascii="Cambria" w:hAnsi="Cambria" w:cs="Cambria" w:eastAsia="Cambria"/>
          <w:b/>
          <w:sz w:val="22"/>
        </w:rPr>
        <w:t>17,5 %</w:t>
      </w:r>
      <w:r>
        <w:rPr>
          <w:rFonts w:ascii="Cambria" w:hAnsi="Cambria" w:cs="Cambria" w:eastAsia="Cambria"/>
          <w:sz w:val="22"/>
        </w:rPr>
        <w:t xml:space="preserve"> en algunas secciones agrícolas y minerales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No se aplica a SPG+ ni TMA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Retirada temporal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Causas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Violaciones graves y sistemáticas de convenios de derechos humanos y laborales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Productos de prisiones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Deficiencias graves en controles de drogas, blanqueo y terrorismo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Prácticas comerciales desleales graves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Violaciones graves de objetivos de pesca regionales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Procedimiento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Acto de ejecución</w:t>
      </w:r>
      <w:r>
        <w:rPr>
          <w:rFonts w:ascii="Cambria" w:hAnsi="Cambria" w:cs="Cambria" w:eastAsia="Cambria"/>
          <w:sz w:val="22"/>
        </w:rPr>
        <w:t xml:space="preserve"> en el DOUE, seguimiento de </w:t>
      </w:r>
      <w:r>
        <w:rPr>
          <w:rFonts w:ascii="Cambria" w:hAnsi="Cambria" w:cs="Cambria" w:eastAsia="Cambria"/>
          <w:b/>
          <w:sz w:val="22"/>
        </w:rPr>
        <w:t>seis meses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Informe y </w:t>
      </w:r>
      <w:r>
        <w:rPr>
          <w:rFonts w:ascii="Cambria" w:hAnsi="Cambria" w:cs="Cambria" w:eastAsia="Cambria"/>
          <w:b/>
          <w:sz w:val="22"/>
        </w:rPr>
        <w:t>un mes</w:t>
      </w:r>
      <w:r>
        <w:rPr>
          <w:rFonts w:ascii="Cambria" w:hAnsi="Cambria" w:cs="Cambria" w:eastAsia="Cambria"/>
          <w:sz w:val="22"/>
        </w:rPr>
        <w:t xml:space="preserve"> de observaciones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</w:t>
      </w:r>
      <w:r>
        <w:rPr>
          <w:rFonts w:ascii="Cambria" w:hAnsi="Cambria" w:cs="Cambria" w:eastAsia="Cambria"/>
          <w:b/>
          <w:sz w:val="22"/>
        </w:rPr>
        <w:t>seis meses</w:t>
      </w:r>
      <w:r>
        <w:rPr>
          <w:rFonts w:ascii="Cambria" w:hAnsi="Cambria" w:cs="Cambria" w:eastAsia="Cambria"/>
          <w:sz w:val="22"/>
        </w:rPr>
        <w:t xml:space="preserve"> cierre o retirada por </w:t>
      </w:r>
      <w:r>
        <w:rPr>
          <w:rFonts w:ascii="Cambria" w:hAnsi="Cambria" w:cs="Cambria" w:eastAsia="Cambria"/>
          <w:b/>
          <w:sz w:val="22"/>
        </w:rPr>
        <w:t>acto delegado</w:t>
      </w:r>
      <w:r>
        <w:rPr>
          <w:rFonts w:ascii="Cambria" w:hAnsi="Cambria" w:cs="Cambria" w:eastAsia="Cambria"/>
          <w:sz w:val="22"/>
        </w:rPr>
        <w:t xml:space="preserve"> (efecto a los seis meses)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Casos: Myanmar, Bielorrusia, Sri Lanka, Camboya (parcial desde agosto 2020)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3.6. Salvaguardias y vigilancia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General</w:t>
      </w:r>
      <w:r>
        <w:rPr>
          <w:rFonts w:ascii="Cambria" w:hAnsi="Cambria" w:cs="Cambria" w:eastAsia="Cambria"/>
          <w:sz w:val="22"/>
        </w:rPr>
        <w:t>: restablece derechos del arancel aduanero común ante dificultades graves de productores de la Unión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Investigación máximo </w:t>
      </w:r>
      <w:r>
        <w:rPr>
          <w:rFonts w:ascii="Cambria" w:hAnsi="Cambria" w:cs="Cambria" w:eastAsia="Cambria"/>
          <w:b/>
          <w:sz w:val="22"/>
        </w:rPr>
        <w:t>12 meses</w:t>
      </w:r>
      <w:r>
        <w:rPr>
          <w:rFonts w:ascii="Cambria" w:hAnsi="Cambria" w:cs="Cambria" w:eastAsia="Cambria"/>
          <w:sz w:val="22"/>
        </w:rPr>
        <w:t xml:space="preserve">. Medidas por acto de ejecución, máximo </w:t>
      </w:r>
      <w:r>
        <w:rPr>
          <w:rFonts w:ascii="Cambria" w:hAnsi="Cambria" w:cs="Cambria" w:eastAsia="Cambria"/>
          <w:b/>
          <w:sz w:val="22"/>
        </w:rPr>
        <w:t>tres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Específica</w:t>
      </w:r>
      <w:r>
        <w:rPr>
          <w:rFonts w:ascii="Cambria" w:hAnsi="Cambria" w:cs="Cambria" w:eastAsia="Cambria"/>
          <w:sz w:val="22"/>
        </w:rPr>
        <w:t xml:space="preserve"> textiles y etanol: SPG estándar y SPG+, no TMA. Importaciones superiores al </w:t>
      </w:r>
      <w:r>
        <w:rPr>
          <w:rFonts w:ascii="Cambria" w:hAnsi="Cambria" w:cs="Cambria" w:eastAsia="Cambria"/>
          <w:b/>
          <w:sz w:val="22"/>
        </w:rPr>
        <w:t>6 %</w:t>
      </w:r>
      <w:r>
        <w:rPr>
          <w:rFonts w:ascii="Cambria" w:hAnsi="Cambria" w:cs="Cambria" w:eastAsia="Cambria"/>
          <w:sz w:val="22"/>
        </w:rPr>
        <w:t xml:space="preserve"> de las de la Unión y al </w:t>
      </w:r>
      <w:r>
        <w:rPr>
          <w:rFonts w:ascii="Cambria" w:hAnsi="Cambria" w:cs="Cambria" w:eastAsia="Cambria"/>
          <w:b/>
          <w:sz w:val="22"/>
        </w:rPr>
        <w:t>47 %</w:t>
      </w:r>
      <w:r>
        <w:rPr>
          <w:rFonts w:ascii="Cambria" w:hAnsi="Cambria" w:cs="Cambria" w:eastAsia="Cambria"/>
          <w:sz w:val="22"/>
        </w:rPr>
        <w:t xml:space="preserve"> de las de los beneficiarios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Especial</w:t>
      </w:r>
      <w:r>
        <w:rPr>
          <w:rFonts w:ascii="Cambria" w:hAnsi="Cambria" w:cs="Cambria" w:eastAsia="Cambria"/>
          <w:sz w:val="22"/>
        </w:rPr>
        <w:t xml:space="preserve"> agrícola y pesquera (anexo I TFUE) y vigilancia especial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Arroz de Camboya y Myanmar (2019-2022)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2025: etanol de Pakistán, </w:t>
      </w:r>
      <w:r>
        <w:rPr>
          <w:rFonts w:ascii="Cambria" w:hAnsi="Cambria" w:cs="Cambria" w:eastAsia="Cambria"/>
          <w:b/>
          <w:sz w:val="22"/>
        </w:rPr>
        <w:t>Reglamento de Ejecución (UE) 2025/1206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3.7. Normas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Código Aduanero de la Unión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Delegado (UE) 2015/2446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Acumulación</w:t>
      </w:r>
      <w:r>
        <w:rPr>
          <w:rFonts w:ascii="Cambria" w:hAnsi="Cambria" w:cs="Cambria" w:eastAsia="Cambria"/>
          <w:sz w:val="22"/>
        </w:rPr>
        <w:t>: bilateral (Unión, Noruega, Suiza, Turquía), regional (ASEAN, Asia Meridional) y ampliada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Prueba: comunicación de origen de exportadores registrados en </w:t>
      </w:r>
      <w:r>
        <w:rPr>
          <w:rFonts w:ascii="Cambria" w:hAnsi="Cambria" w:cs="Cambria" w:eastAsia="Cambria"/>
          <w:b/>
          <w:sz w:val="22"/>
        </w:rPr>
        <w:t>REX</w:t>
      </w:r>
      <w:r>
        <w:rPr>
          <w:rFonts w:ascii="Cambria" w:hAnsi="Cambria" w:cs="Cambria" w:eastAsia="Cambria"/>
          <w:sz w:val="22"/>
        </w:rPr>
        <w:t xml:space="preserve"> (desde 2017, obligatorio desde 30 de junio de 2020), sustituye a FORM A. Hasta </w:t>
      </w:r>
      <w:r>
        <w:rPr>
          <w:rFonts w:ascii="Cambria" w:hAnsi="Cambria" w:cs="Cambria" w:eastAsia="Cambria"/>
          <w:b/>
          <w:sz w:val="22"/>
        </w:rPr>
        <w:t>6.000 euros</w:t>
      </w:r>
      <w:r>
        <w:rPr>
          <w:rFonts w:ascii="Cambria" w:hAnsi="Cambria" w:cs="Cambria" w:eastAsia="Cambria"/>
          <w:sz w:val="22"/>
        </w:rPr>
        <w:t xml:space="preserve"> sin registro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NUEVO SPG: REGLAMENTO (UE) 2026/1395 (2027-2036)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Tramitación y vigencia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Propuesta septiembre 2021, bloqueada por la readmisión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Acuerdo 1 de diciembre de 2025, Parlamento 28 de abril de 2026, </w:t>
      </w:r>
      <w:r>
        <w:rPr>
          <w:rFonts w:ascii="Cambria" w:hAnsi="Cambria" w:cs="Cambria" w:eastAsia="Cambria"/>
          <w:b/>
          <w:sz w:val="22"/>
        </w:rPr>
        <w:t>Reglamento (UE) 2026/1395</w:t>
      </w:r>
      <w:r>
        <w:rPr>
          <w:rFonts w:ascii="Cambria" w:hAnsi="Cambria" w:cs="Cambria" w:eastAsia="Cambria"/>
          <w:sz w:val="22"/>
        </w:rPr>
        <w:t xml:space="preserve"> de 17 de junio de 2026, DOUE 22 de junio de 2026. Base </w:t>
      </w:r>
      <w:r>
        <w:rPr>
          <w:rFonts w:ascii="Cambria" w:hAnsi="Cambria" w:cs="Cambria" w:eastAsia="Cambria"/>
          <w:b/>
          <w:sz w:val="22"/>
        </w:rPr>
        <w:t>art. 207.2 TFUE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Aplicable </w:t>
      </w:r>
      <w:r>
        <w:rPr>
          <w:rFonts w:ascii="Cambria" w:hAnsi="Cambria" w:cs="Cambria" w:eastAsia="Cambria"/>
          <w:b/>
          <w:sz w:val="22"/>
        </w:rPr>
        <w:t>1 de enero de 2027 a 31 de diciembre de 2036</w:t>
      </w:r>
      <w:r>
        <w:rPr>
          <w:rFonts w:ascii="Cambria" w:hAnsi="Cambria" w:cs="Cambria" w:eastAsia="Cambria"/>
          <w:sz w:val="22"/>
        </w:rPr>
        <w:t>. Deroga el 978/2012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Mantiene tres regímenes y cobertura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Países beneficiarios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Misma lista de </w:t>
      </w:r>
      <w:r>
        <w:rPr>
          <w:rFonts w:ascii="Cambria" w:hAnsi="Cambria" w:cs="Cambria" w:eastAsia="Cambria"/>
          <w:b/>
          <w:sz w:val="22"/>
        </w:rPr>
        <w:t>65</w:t>
      </w:r>
      <w:r>
        <w:rPr>
          <w:rFonts w:ascii="Cambria" w:hAnsi="Cambria" w:cs="Cambria" w:eastAsia="Cambria"/>
          <w:sz w:val="22"/>
        </w:rPr>
        <w:t xml:space="preserve"> países y mismos criterios de salida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TMA indefinido</w:t>
      </w:r>
      <w:r>
        <w:rPr>
          <w:rFonts w:ascii="Cambria" w:hAnsi="Cambria" w:cs="Cambria" w:eastAsia="Cambria"/>
          <w:sz w:val="22"/>
        </w:rPr>
        <w:t xml:space="preserve"> (25 años)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Salida de PMA: </w:t>
      </w:r>
      <w:r>
        <w:rPr>
          <w:rFonts w:ascii="Cambria" w:hAnsi="Cambria" w:cs="Cambria" w:eastAsia="Cambria"/>
          <w:b/>
          <w:sz w:val="22"/>
        </w:rPr>
        <w:t>tres años</w:t>
      </w:r>
      <w:r>
        <w:rPr>
          <w:rFonts w:ascii="Cambria" w:hAnsi="Cambria" w:cs="Cambria" w:eastAsia="Cambria"/>
          <w:sz w:val="22"/>
        </w:rPr>
        <w:t xml:space="preserve"> de TMA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Bangladés, Laos y Nepal (2026): TMA hasta finales de </w:t>
      </w:r>
      <w:r>
        <w:rPr>
          <w:rFonts w:ascii="Cambria" w:hAnsi="Cambria" w:cs="Cambria" w:eastAsia="Cambria"/>
          <w:b/>
          <w:sz w:val="22"/>
        </w:rPr>
        <w:t>2029</w:t>
      </w:r>
      <w:r>
        <w:rPr>
          <w:rFonts w:ascii="Cambria" w:hAnsi="Cambria" w:cs="Cambria" w:eastAsia="Cambria"/>
          <w:sz w:val="22"/>
        </w:rPr>
        <w:t>, pueden pedir SPG+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Acuerdo de libre comercio: SPG estándar y SPG+ salen </w:t>
      </w:r>
      <w:r>
        <w:rPr>
          <w:rFonts w:ascii="Cambria" w:hAnsi="Cambria" w:cs="Cambria" w:eastAsia="Cambria"/>
          <w:b/>
          <w:sz w:val="22"/>
        </w:rPr>
        <w:t>dos años</w:t>
      </w:r>
      <w:r>
        <w:rPr>
          <w:rFonts w:ascii="Cambria" w:hAnsi="Cambria" w:cs="Cambria" w:eastAsia="Cambria"/>
          <w:sz w:val="22"/>
        </w:rPr>
        <w:t xml:space="preserve"> después (la India). TMA conserva preferencias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Productos y preferencias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Preferencias y cobertura se mantienen. Cambia la clasificación de algunos productos (PET pasa a sensible)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Graduación (solo SPG estándar): umbral general del </w:t>
      </w:r>
      <w:r>
        <w:rPr>
          <w:rFonts w:ascii="Cambria" w:hAnsi="Cambria" w:cs="Cambria" w:eastAsia="Cambria"/>
          <w:b/>
          <w:sz w:val="22"/>
        </w:rPr>
        <w:t>57 % al 47 %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El nuevo SPG+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Convenios de </w:t>
      </w:r>
      <w:r>
        <w:rPr>
          <w:rFonts w:ascii="Cambria" w:hAnsi="Cambria" w:cs="Cambria" w:eastAsia="Cambria"/>
          <w:b/>
          <w:sz w:val="22"/>
        </w:rPr>
        <w:t>27 a 32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Acuerdo de París</w:t>
      </w:r>
      <w:r>
        <w:rPr>
          <w:rFonts w:ascii="Cambria" w:hAnsi="Cambria" w:cs="Cambria" w:eastAsia="Cambria"/>
          <w:sz w:val="22"/>
        </w:rPr>
        <w:t xml:space="preserve"> sustituye a Kioto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 suprime la cuota máxima y se mantiene la diversificación (</w:t>
      </w:r>
      <w:r>
        <w:rPr>
          <w:rFonts w:ascii="Cambria" w:hAnsi="Cambria" w:cs="Cambria" w:eastAsia="Cambria"/>
          <w:b/>
          <w:sz w:val="22"/>
        </w:rPr>
        <w:t>75 %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Solicitantes con </w:t>
      </w:r>
      <w:r>
        <w:rPr>
          <w:rFonts w:ascii="Cambria" w:hAnsi="Cambria" w:cs="Cambria" w:eastAsia="Cambria"/>
          <w:b/>
          <w:sz w:val="22"/>
        </w:rPr>
        <w:t>plan de acción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Beneficiarios actuales: nueva solicitud antes del </w:t>
      </w:r>
      <w:r>
        <w:rPr>
          <w:rFonts w:ascii="Cambria" w:hAnsi="Cambria" w:cs="Cambria" w:eastAsia="Cambria"/>
          <w:b/>
          <w:sz w:val="22"/>
        </w:rPr>
        <w:t>31 de diciembre de 2028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Más seguimiento, transparencia y sociedad civil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4.5. Condicionalidad y retirada de preferencias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Condicionalidad negativa ampliada</w:t>
      </w:r>
      <w:r>
        <w:rPr>
          <w:rFonts w:ascii="Cambria" w:hAnsi="Cambria" w:cs="Cambria" w:eastAsia="Cambria"/>
          <w:sz w:val="22"/>
        </w:rPr>
        <w:t xml:space="preserve"> a todos los beneficiarios: también convenios medioambientales, climáticos y de buena gobernanza (CITES)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Retirada urgente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Readmisión</w:t>
      </w:r>
      <w:r>
        <w:rPr>
          <w:rFonts w:ascii="Cambria" w:hAnsi="Cambria" w:cs="Cambria" w:eastAsia="Cambria"/>
          <w:sz w:val="22"/>
        </w:rPr>
        <w:t xml:space="preserve">: retirada por deficiencias graves y sistemáticas, último recurso tras el diálogo del Código de visados. TMA desde </w:t>
      </w:r>
      <w:r>
        <w:rPr>
          <w:rFonts w:ascii="Cambria" w:hAnsi="Cambria" w:cs="Cambria" w:eastAsia="Cambria"/>
          <w:b/>
          <w:sz w:val="22"/>
        </w:rPr>
        <w:t>1 de enero de 2029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4.6. Salvaguardias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General </w:t>
      </w:r>
      <w:r>
        <w:rPr>
          <w:rFonts w:ascii="Cambria" w:hAnsi="Cambria" w:cs="Cambria" w:eastAsia="Cambria"/>
          <w:b/>
          <w:sz w:val="22"/>
        </w:rPr>
        <w:t>simplificada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Vigilancia especial reforzada</w:t>
      </w:r>
      <w:r>
        <w:rPr>
          <w:rFonts w:ascii="Cambria" w:hAnsi="Cambria" w:cs="Cambria" w:eastAsia="Cambria"/>
          <w:sz w:val="22"/>
        </w:rPr>
        <w:t xml:space="preserve"> agrícola (flores cortadas, tomate)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Salvaguardia automática del arroz</w:t>
      </w:r>
      <w:r>
        <w:rPr>
          <w:rFonts w:ascii="Cambria" w:hAnsi="Cambria" w:cs="Cambria" w:eastAsia="Cambria"/>
          <w:sz w:val="22"/>
        </w:rPr>
        <w:t xml:space="preserve">: importaciones más de un </w:t>
      </w:r>
      <w:r>
        <w:rPr>
          <w:rFonts w:ascii="Cambria" w:hAnsi="Cambria" w:cs="Cambria" w:eastAsia="Cambria"/>
          <w:b/>
          <w:sz w:val="22"/>
        </w:rPr>
        <w:t>45 %</w:t>
      </w:r>
      <w:r>
        <w:rPr>
          <w:rFonts w:ascii="Cambria" w:hAnsi="Cambria" w:cs="Cambria" w:eastAsia="Cambria"/>
          <w:sz w:val="22"/>
        </w:rPr>
        <w:t xml:space="preserve"> sobre la media de diez años suspenden preferencias y al año siguiente contingente. Afecta a Camboya y Myanmar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4.7. Normas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Remisión al Código Aduanero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Acumulación regional, interregional y ampliada: el solicitante demuestra necesidad, que no puede cumplir sin ella y que no perjudica a otros beneficiarios, en especial TMA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 un sistema casi automático a otro </w:t>
      </w:r>
      <w:r>
        <w:rPr>
          <w:rFonts w:ascii="Cambria" w:hAnsi="Cambria" w:cs="Cambria" w:eastAsia="Cambria"/>
          <w:b/>
          <w:sz w:val="22"/>
        </w:rPr>
        <w:t>condicionado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Nuevo SPG: </w:t>
      </w:r>
      <w:r>
        <w:rPr>
          <w:rFonts w:ascii="Cambria" w:hAnsi="Cambria" w:cs="Cambria" w:eastAsia="Cambria"/>
          <w:b/>
          <w:sz w:val="22"/>
        </w:rPr>
        <w:t>TMA indefinido</w:t>
      </w:r>
      <w:r>
        <w:rPr>
          <w:rFonts w:ascii="Cambria" w:hAnsi="Cambria" w:cs="Cambria" w:eastAsia="Cambria"/>
          <w:sz w:val="22"/>
        </w:rPr>
        <w:t xml:space="preserve">, acceso al SPG+ facilitado, </w:t>
      </w:r>
      <w:r>
        <w:rPr>
          <w:rFonts w:ascii="Cambria" w:hAnsi="Cambria" w:cs="Cambria" w:eastAsia="Cambria"/>
          <w:b/>
          <w:sz w:val="22"/>
        </w:rPr>
        <w:t>readmisión</w:t>
      </w:r>
      <w:r>
        <w:rPr>
          <w:rFonts w:ascii="Cambria" w:hAnsi="Cambria" w:cs="Cambria" w:eastAsia="Cambria"/>
          <w:sz w:val="22"/>
        </w:rPr>
        <w:t>, salvaguardia del arroz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Desafíos: erosión de preferencias, graduación de </w:t>
      </w:r>
      <w:r>
        <w:rPr>
          <w:rFonts w:ascii="Cambria" w:hAnsi="Cambria" w:cs="Cambria" w:eastAsia="Cambria"/>
          <w:b/>
          <w:sz w:val="22"/>
        </w:rPr>
        <w:t>Bangladés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la India</w:t>
      </w:r>
      <w:r>
        <w:rPr>
          <w:rFonts w:ascii="Cambria" w:hAnsi="Cambria" w:cs="Cambria" w:eastAsia="Cambria"/>
          <w:sz w:val="22"/>
        </w:rPr>
        <w:t>, equilibrio desarrollo y protección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SOIVRE: verificación del origen preferencial (</w:t>
      </w:r>
      <w:r>
        <w:rPr>
          <w:rFonts w:ascii="Cambria" w:hAnsi="Cambria" w:cs="Cambria" w:eastAsia="Cambria"/>
          <w:b/>
          <w:sz w:val="22"/>
        </w:rPr>
        <w:t>REX</w:t>
      </w:r>
      <w:r>
        <w:rPr>
          <w:rFonts w:ascii="Cambria" w:hAnsi="Cambria" w:cs="Cambria" w:eastAsia="Cambria"/>
          <w:sz w:val="22"/>
        </w:rPr>
        <w:t>) y conformidad de productos con normas de la Unión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22 – Sistema de Preferencias Generalizadas.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22 – Sistema de Preferencias Generalizadas.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