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Crecimiento del comercio</w:t>
      </w:r>
      <w:r>
        <w:rPr>
          <w:rFonts w:ascii="Cambria" w:hAnsi="Cambria" w:cs="Cambria" w:eastAsia="Cambria"/>
          <w:sz w:val="22"/>
        </w:rPr>
        <w:t xml:space="preserve"> de bienes: más volumen, variedad y países. Emergentes y </w:t>
      </w:r>
      <w:r>
        <w:rPr>
          <w:rFonts w:ascii="Cambria" w:hAnsi="Cambria" w:cs="Cambria" w:eastAsia="Cambria"/>
          <w:b/>
          <w:sz w:val="22"/>
        </w:rPr>
        <w:t>BRICS</w:t>
      </w:r>
      <w:r>
        <w:rPr>
          <w:rFonts w:ascii="Cambria" w:hAnsi="Cambria" w:cs="Cambria" w:eastAsia="Cambria"/>
          <w:sz w:val="22"/>
        </w:rPr>
        <w:t xml:space="preserve"> (ampliado desde 2024)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Factores: tecnología, integración regional y compromiso multilateral de reducir barreras (transparencia y no discriminación) en </w:t>
      </w:r>
      <w:r>
        <w:rPr>
          <w:rFonts w:ascii="Cambria" w:hAnsi="Cambria" w:cs="Cambria" w:eastAsia="Cambria"/>
          <w:b/>
          <w:sz w:val="22"/>
        </w:rPr>
        <w:t>GATT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OMC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166 miembros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Al bajar los aranceles ganan peso las </w:t>
      </w:r>
      <w:r>
        <w:rPr>
          <w:rFonts w:ascii="Cambria" w:hAnsi="Cambria" w:cs="Cambria" w:eastAsia="Cambria"/>
          <w:b/>
          <w:sz w:val="22"/>
        </w:rPr>
        <w:t>barreras no arancelarias</w:t>
      </w:r>
      <w:r>
        <w:rPr>
          <w:rFonts w:ascii="Cambria" w:hAnsi="Cambria" w:cs="Cambria" w:eastAsia="Cambria"/>
          <w:sz w:val="22"/>
        </w:rPr>
        <w:t>: reglamentos técnicos, normas y evaluación de la conformidad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Plan: barreras comerciales, </w:t>
      </w:r>
      <w:r>
        <w:rPr>
          <w:rFonts w:ascii="Cambria" w:hAnsi="Cambria" w:cs="Cambria" w:eastAsia="Cambria"/>
          <w:b/>
          <w:sz w:val="22"/>
        </w:rPr>
        <w:t>OTC y Acuerdo OTC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Access2Markets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IDENTIFICACIÓN Y CARACTERIZACIÓN DE LAS BARRERAS COMERCIALES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Concepto de barrera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Sin definición universal. Medida que </w:t>
      </w:r>
      <w:r>
        <w:rPr>
          <w:rFonts w:ascii="Cambria" w:hAnsi="Cambria" w:cs="Cambria" w:eastAsia="Cambria"/>
          <w:b/>
          <w:sz w:val="22"/>
        </w:rPr>
        <w:t>protege</w:t>
      </w:r>
      <w:r>
        <w:rPr>
          <w:rFonts w:ascii="Cambria" w:hAnsi="Cambria" w:cs="Cambria" w:eastAsia="Cambria"/>
          <w:sz w:val="22"/>
        </w:rPr>
        <w:t xml:space="preserve"> lo nacional, </w:t>
      </w:r>
      <w:r>
        <w:rPr>
          <w:rFonts w:ascii="Cambria" w:hAnsi="Cambria" w:cs="Cambria" w:eastAsia="Cambria"/>
          <w:b/>
          <w:sz w:val="22"/>
        </w:rPr>
        <w:t>dificulta importaciones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estimula artificialmente exportaciones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requisitos: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Deriva de </w:t>
      </w:r>
      <w:r>
        <w:rPr>
          <w:rFonts w:ascii="Cambria" w:hAnsi="Cambria" w:cs="Cambria" w:eastAsia="Cambria"/>
          <w:b/>
          <w:sz w:val="22"/>
        </w:rPr>
        <w:t>acción o medida oficial</w:t>
      </w:r>
      <w:r>
        <w:rPr>
          <w:rFonts w:ascii="Cambria" w:hAnsi="Cambria" w:cs="Cambria" w:eastAsia="Cambria"/>
          <w:sz w:val="22"/>
        </w:rPr>
        <w:t xml:space="preserve"> (central, regional o local)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Supone </w:t>
      </w:r>
      <w:r>
        <w:rPr>
          <w:rFonts w:ascii="Cambria" w:hAnsi="Cambria" w:cs="Cambria" w:eastAsia="Cambria"/>
          <w:b/>
          <w:sz w:val="22"/>
        </w:rPr>
        <w:t>limitación o carga</w:t>
      </w:r>
      <w:r>
        <w:rPr>
          <w:rFonts w:ascii="Cambria" w:hAnsi="Cambria" w:cs="Cambria" w:eastAsia="Cambria"/>
          <w:sz w:val="22"/>
        </w:rPr>
        <w:t xml:space="preserve"> para el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son barreras: exigencias de importadores, hábitos de consumo, peculiaridades del mercado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Reglamentación exigente no lo es por sí sola si es </w:t>
      </w:r>
      <w:r>
        <w:rPr>
          <w:rFonts w:ascii="Cambria" w:hAnsi="Cambria" w:cs="Cambria" w:eastAsia="Cambria"/>
          <w:b/>
          <w:sz w:val="22"/>
        </w:rPr>
        <w:t>justificada, no arbitraria ni discriminatoria y proporcionada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2015/1843</w:t>
      </w:r>
      <w:r>
        <w:rPr>
          <w:rFonts w:ascii="Cambria" w:hAnsi="Cambria" w:cs="Cambria" w:eastAsia="Cambria"/>
          <w:sz w:val="22"/>
        </w:rPr>
        <w:t xml:space="preserve">: obstáculo al comercio = práctica de un tercer país sobre la que las normas internacionales dan </w:t>
      </w:r>
      <w:r>
        <w:rPr>
          <w:rFonts w:ascii="Cambria" w:hAnsi="Cambria" w:cs="Cambria" w:eastAsia="Cambria"/>
          <w:b/>
          <w:sz w:val="22"/>
        </w:rPr>
        <w:t>derecho de acción</w:t>
      </w:r>
      <w:r>
        <w:rPr>
          <w:rFonts w:ascii="Cambria" w:hAnsi="Cambria" w:cs="Cambria" w:eastAsia="Cambria"/>
          <w:sz w:val="22"/>
        </w:rPr>
        <w:t xml:space="preserve"> (la prohíben o permiten pedir eliminar sus efectos)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Clasificación de las barreras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Clásica</w:t>
      </w:r>
      <w:r>
        <w:rPr>
          <w:rFonts w:ascii="Cambria" w:hAnsi="Cambria" w:cs="Cambria" w:eastAsia="Cambria"/>
          <w:sz w:val="22"/>
        </w:rPr>
        <w:t xml:space="preserve"> (GATT, UNCTAD, OCDE)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Arancelarias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Derechos de aduana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Exacciones de efecto equivalente</w:t>
      </w:r>
      <w:r>
        <w:rPr>
          <w:rFonts w:ascii="Cambria" w:hAnsi="Cambria" w:cs="Cambria" w:eastAsia="Cambria"/>
          <w:sz w:val="22"/>
        </w:rPr>
        <w:t xml:space="preserve"> (art. 30 TFUE): cargas pecuniarias por cruzar la frontera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Tributos internos discriminatorios</w:t>
      </w:r>
      <w:r>
        <w:rPr>
          <w:rFonts w:ascii="Cambria" w:hAnsi="Cambria" w:cs="Cambria" w:eastAsia="Cambria"/>
          <w:sz w:val="22"/>
        </w:rPr>
        <w:t xml:space="preserve"> (art. III GATT)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 arancelarias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Restricciones cuantitativas</w:t>
      </w:r>
      <w:r>
        <w:rPr>
          <w:rFonts w:ascii="Cambria" w:hAnsi="Cambria" w:cs="Cambria" w:eastAsia="Cambria"/>
          <w:sz w:val="22"/>
        </w:rPr>
        <w:t xml:space="preserve">: prohibiciones y contingentes, prohibidas por el </w:t>
      </w:r>
      <w:r>
        <w:rPr>
          <w:rFonts w:ascii="Cambria" w:hAnsi="Cambria" w:cs="Cambria" w:eastAsia="Cambria"/>
          <w:b/>
          <w:sz w:val="22"/>
        </w:rPr>
        <w:t>art. XI GATT</w:t>
      </w:r>
      <w:r>
        <w:rPr>
          <w:rFonts w:ascii="Cambria" w:hAnsi="Cambria" w:cs="Cambria" w:eastAsia="Cambria"/>
          <w:sz w:val="22"/>
        </w:rPr>
        <w:t>. Licencias no automáticas (Acuerdo sobre Licencias de Importación)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Medidas de efecto equivalente</w:t>
      </w:r>
      <w:r>
        <w:rPr>
          <w:rFonts w:ascii="Cambria" w:hAnsi="Cambria" w:cs="Cambria" w:eastAsia="Cambria"/>
          <w:sz w:val="22"/>
        </w:rPr>
        <w:t xml:space="preserve">: sentencia </w:t>
      </w:r>
      <w:r>
        <w:rPr>
          <w:rFonts w:ascii="Cambria" w:hAnsi="Cambria" w:cs="Cambria" w:eastAsia="Cambria"/>
          <w:b/>
          <w:sz w:val="22"/>
        </w:rPr>
        <w:t>Dassonville (1974)</w:t>
      </w:r>
      <w:r>
        <w:rPr>
          <w:rFonts w:ascii="Cambria" w:hAnsi="Cambria" w:cs="Cambria" w:eastAsia="Cambria"/>
          <w:sz w:val="22"/>
        </w:rPr>
        <w:t xml:space="preserve">. Destacan los </w:t>
      </w:r>
      <w:r>
        <w:rPr>
          <w:rFonts w:ascii="Cambria" w:hAnsi="Cambria" w:cs="Cambria" w:eastAsia="Cambria"/>
          <w:b/>
          <w:sz w:val="22"/>
        </w:rPr>
        <w:t>obstáculos técnicos</w:t>
      </w:r>
      <w:r>
        <w:rPr>
          <w:rFonts w:ascii="Cambria" w:hAnsi="Cambria" w:cs="Cambria" w:eastAsia="Cambria"/>
          <w:sz w:val="22"/>
        </w:rPr>
        <w:t xml:space="preserve"> (normalización, certificación, homologación)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Controles y formalidades en frontera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Ayudas públicas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Monopolios estatales</w:t>
      </w:r>
      <w:r>
        <w:rPr>
          <w:rFonts w:ascii="Cambria" w:hAnsi="Cambria" w:cs="Cambria" w:eastAsia="Cambria"/>
          <w:sz w:val="22"/>
        </w:rPr>
        <w:t xml:space="preserve"> y empresas comerciales del Estado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UNCTAD</w:t>
      </w:r>
      <w:r>
        <w:rPr>
          <w:rFonts w:ascii="Cambria" w:hAnsi="Cambria" w:cs="Cambria" w:eastAsia="Cambria"/>
          <w:sz w:val="22"/>
        </w:rPr>
        <w:t xml:space="preserve"> (revisada en </w:t>
      </w:r>
      <w:r>
        <w:rPr>
          <w:rFonts w:ascii="Cambria" w:hAnsi="Cambria" w:cs="Cambria" w:eastAsia="Cambria"/>
          <w:b/>
          <w:sz w:val="22"/>
        </w:rPr>
        <w:t>2019</w:t>
      </w:r>
      <w:r>
        <w:rPr>
          <w:rFonts w:ascii="Cambria" w:hAnsi="Cambria" w:cs="Cambria" w:eastAsia="Cambria"/>
          <w:sz w:val="22"/>
        </w:rPr>
        <w:t>), capítulos por letras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</w:t>
      </w:r>
      <w:r>
        <w:rPr>
          <w:rFonts w:ascii="Cambria" w:hAnsi="Cambria" w:cs="Cambria" w:eastAsia="Cambria"/>
          <w:sz w:val="22"/>
        </w:rPr>
        <w:t xml:space="preserve"> sanitarias y fitosanitarias, </w:t>
      </w:r>
      <w:r>
        <w:rPr>
          <w:rFonts w:ascii="Cambria" w:hAnsi="Cambria" w:cs="Cambria" w:eastAsia="Cambria"/>
          <w:b/>
          <w:sz w:val="22"/>
        </w:rPr>
        <w:t>B</w:t>
      </w:r>
      <w:r>
        <w:rPr>
          <w:rFonts w:ascii="Cambria" w:hAnsi="Cambria" w:cs="Cambria" w:eastAsia="Cambria"/>
          <w:sz w:val="22"/>
        </w:rPr>
        <w:t xml:space="preserve"> obstáculos técnicos, </w:t>
      </w:r>
      <w:r>
        <w:rPr>
          <w:rFonts w:ascii="Cambria" w:hAnsi="Cambria" w:cs="Cambria" w:eastAsia="Cambria"/>
          <w:b/>
          <w:sz w:val="22"/>
        </w:rPr>
        <w:t>C</w:t>
      </w:r>
      <w:r>
        <w:rPr>
          <w:rFonts w:ascii="Cambria" w:hAnsi="Cambria" w:cs="Cambria" w:eastAsia="Cambria"/>
          <w:sz w:val="22"/>
        </w:rPr>
        <w:t xml:space="preserve"> inspección previa, </w:t>
      </w:r>
      <w:r>
        <w:rPr>
          <w:rFonts w:ascii="Cambria" w:hAnsi="Cambria" w:cs="Cambria" w:eastAsia="Cambria"/>
          <w:b/>
          <w:sz w:val="22"/>
        </w:rPr>
        <w:t>D</w:t>
      </w:r>
      <w:r>
        <w:rPr>
          <w:rFonts w:ascii="Cambria" w:hAnsi="Cambria" w:cs="Cambria" w:eastAsia="Cambria"/>
          <w:sz w:val="22"/>
        </w:rPr>
        <w:t xml:space="preserve"> defensa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</w:t>
      </w:r>
      <w:r>
        <w:rPr>
          <w:rFonts w:ascii="Cambria" w:hAnsi="Cambria" w:cs="Cambria" w:eastAsia="Cambria"/>
          <w:sz w:val="22"/>
        </w:rPr>
        <w:t xml:space="preserve"> licencias, contingentes y prohibiciones, </w:t>
      </w:r>
      <w:r>
        <w:rPr>
          <w:rFonts w:ascii="Cambria" w:hAnsi="Cambria" w:cs="Cambria" w:eastAsia="Cambria"/>
          <w:b/>
          <w:sz w:val="22"/>
        </w:rPr>
        <w:t>F</w:t>
      </w:r>
      <w:r>
        <w:rPr>
          <w:rFonts w:ascii="Cambria" w:hAnsi="Cambria" w:cs="Cambria" w:eastAsia="Cambria"/>
          <w:sz w:val="22"/>
        </w:rPr>
        <w:t xml:space="preserve"> control de precios, </w:t>
      </w:r>
      <w:r>
        <w:rPr>
          <w:rFonts w:ascii="Cambria" w:hAnsi="Cambria" w:cs="Cambria" w:eastAsia="Cambria"/>
          <w:b/>
          <w:sz w:val="22"/>
        </w:rPr>
        <w:t>G</w:t>
      </w:r>
      <w:r>
        <w:rPr>
          <w:rFonts w:ascii="Cambria" w:hAnsi="Cambria" w:cs="Cambria" w:eastAsia="Cambria"/>
          <w:sz w:val="22"/>
        </w:rPr>
        <w:t xml:space="preserve"> medidas financieras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</w:t>
      </w:r>
      <w:r>
        <w:rPr>
          <w:rFonts w:ascii="Cambria" w:hAnsi="Cambria" w:cs="Cambria" w:eastAsia="Cambria"/>
          <w:sz w:val="22"/>
        </w:rPr>
        <w:t xml:space="preserve"> contratación pública, </w:t>
      </w:r>
      <w:r>
        <w:rPr>
          <w:rFonts w:ascii="Cambria" w:hAnsi="Cambria" w:cs="Cambria" w:eastAsia="Cambria"/>
          <w:b/>
          <w:sz w:val="22"/>
        </w:rPr>
        <w:t>N</w:t>
      </w:r>
      <w:r>
        <w:rPr>
          <w:rFonts w:ascii="Cambria" w:hAnsi="Cambria" w:cs="Cambria" w:eastAsia="Cambria"/>
          <w:sz w:val="22"/>
        </w:rPr>
        <w:t xml:space="preserve"> propiedad intelectual, </w:t>
      </w:r>
      <w:r>
        <w:rPr>
          <w:rFonts w:ascii="Cambria" w:hAnsi="Cambria" w:cs="Cambria" w:eastAsia="Cambria"/>
          <w:b/>
          <w:sz w:val="22"/>
        </w:rPr>
        <w:t>O</w:t>
      </w:r>
      <w:r>
        <w:rPr>
          <w:rFonts w:ascii="Cambria" w:hAnsi="Cambria" w:cs="Cambria" w:eastAsia="Cambria"/>
          <w:sz w:val="22"/>
        </w:rPr>
        <w:t xml:space="preserve"> normas de origen, </w:t>
      </w:r>
      <w:r>
        <w:rPr>
          <w:rFonts w:ascii="Cambria" w:hAnsi="Cambria" w:cs="Cambria" w:eastAsia="Cambria"/>
          <w:b/>
          <w:sz w:val="22"/>
        </w:rPr>
        <w:t>P</w:t>
      </w:r>
      <w:r>
        <w:rPr>
          <w:rFonts w:ascii="Cambria" w:hAnsi="Cambria" w:cs="Cambria" w:eastAsia="Cambria"/>
          <w:sz w:val="22"/>
        </w:rPr>
        <w:t xml:space="preserve"> exportaciones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Libro Blanco de 1985</w:t>
      </w:r>
      <w:r>
        <w:rPr>
          <w:rFonts w:ascii="Cambria" w:hAnsi="Cambria" w:cs="Cambria" w:eastAsia="Cambria"/>
          <w:sz w:val="22"/>
        </w:rPr>
        <w:t xml:space="preserve"> (mercado interior)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Físicas</w:t>
      </w:r>
      <w:r>
        <w:rPr>
          <w:rFonts w:ascii="Cambria" w:hAnsi="Cambria" w:cs="Cambria" w:eastAsia="Cambria"/>
          <w:sz w:val="22"/>
        </w:rPr>
        <w:t>: controles y formalidades en fronteras interiores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Técnicas</w:t>
      </w:r>
      <w:r>
        <w:rPr>
          <w:rFonts w:ascii="Cambria" w:hAnsi="Cambria" w:cs="Cambria" w:eastAsia="Cambria"/>
          <w:sz w:val="22"/>
        </w:rPr>
        <w:t>: reglamentaciones, normas, homologación y certificación. Principal obstáculo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Fiscales</w:t>
      </w:r>
      <w:r>
        <w:rPr>
          <w:rFonts w:ascii="Cambria" w:hAnsi="Cambria" w:cs="Cambria" w:eastAsia="Cambria"/>
          <w:sz w:val="22"/>
        </w:rPr>
        <w:t xml:space="preserve">: diferencias de IVA e impuestos especiales (derechos de aduana intra-UE desaparecidos desde </w:t>
      </w:r>
      <w:r>
        <w:rPr>
          <w:rFonts w:ascii="Cambria" w:hAnsi="Cambria" w:cs="Cambria" w:eastAsia="Cambria"/>
          <w:b/>
          <w:sz w:val="22"/>
        </w:rPr>
        <w:t>1968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Obstáculos técnicos: principal problema de las empresas españolas. Objetivo: evitar nuevos, reducir existentes y minimizar los inevitables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Instrumentos de identificación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Secretaría de Estado de Comercio</w:t>
      </w:r>
      <w:r>
        <w:rPr>
          <w:rFonts w:ascii="Cambria" w:hAnsi="Cambria" w:cs="Cambria" w:eastAsia="Cambria"/>
          <w:sz w:val="22"/>
        </w:rPr>
        <w:t>: portal de barreras comerciales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Cuestionario de detección</w:t>
      </w:r>
      <w:r>
        <w:rPr>
          <w:rFonts w:ascii="Cambria" w:hAnsi="Cambria" w:cs="Cambria" w:eastAsia="Cambria"/>
          <w:sz w:val="22"/>
        </w:rPr>
        <w:t xml:space="preserve"> de barreras (exportación, inversión, aprovisionamiento)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Fichas de barreras existentes</w:t>
      </w:r>
      <w:r>
        <w:rPr>
          <w:rFonts w:ascii="Cambria" w:hAnsi="Cambria" w:cs="Cambria" w:eastAsia="Cambria"/>
          <w:sz w:val="22"/>
        </w:rPr>
        <w:t xml:space="preserve"> por mercado, con remisión a Access2Markets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Punto de contacto de los instrumentos de la UE. </w:t>
      </w:r>
      <w:r>
        <w:rPr>
          <w:rFonts w:ascii="Cambria" w:hAnsi="Cambria" w:cs="Cambria" w:eastAsia="Cambria"/>
          <w:b/>
          <w:sz w:val="22"/>
        </w:rPr>
        <w:t>Canaliza denuncias</w:t>
      </w:r>
      <w:r>
        <w:rPr>
          <w:rFonts w:ascii="Cambria" w:hAnsi="Cambria" w:cs="Cambria" w:eastAsia="Cambria"/>
          <w:sz w:val="22"/>
        </w:rPr>
        <w:t xml:space="preserve"> hacia la Comisión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LOS OBSTÁCULOS TÉCNICOS AL COMERCIO Y EL ACUERDO OTC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Evolución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GATT 1947</w:t>
      </w:r>
      <w:r>
        <w:rPr>
          <w:rFonts w:ascii="Cambria" w:hAnsi="Cambria" w:cs="Cambria" w:eastAsia="Cambria"/>
          <w:sz w:val="22"/>
        </w:rPr>
        <w:t xml:space="preserve"> (Ginebra, </w:t>
      </w:r>
      <w:r>
        <w:rPr>
          <w:rFonts w:ascii="Cambria" w:hAnsi="Cambria" w:cs="Cambria" w:eastAsia="Cambria"/>
          <w:b/>
          <w:sz w:val="22"/>
        </w:rPr>
        <w:t>23 países</w:t>
      </w:r>
      <w:r>
        <w:rPr>
          <w:rFonts w:ascii="Cambria" w:hAnsi="Cambria" w:cs="Cambria" w:eastAsia="Cambria"/>
          <w:sz w:val="22"/>
        </w:rPr>
        <w:t xml:space="preserve">): aranceles y restricciones cuantitativas. Reglamentos técnicos solo en arts. </w:t>
      </w:r>
      <w:r>
        <w:rPr>
          <w:rFonts w:ascii="Cambria" w:hAnsi="Cambria" w:cs="Cambria" w:eastAsia="Cambria"/>
          <w:b/>
          <w:sz w:val="22"/>
        </w:rPr>
        <w:t>III, XI y XX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Ronda Tokio, 1979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Código de Normas</w:t>
      </w:r>
      <w:r>
        <w:rPr>
          <w:rFonts w:ascii="Cambria" w:hAnsi="Cambria" w:cs="Cambria" w:eastAsia="Cambria"/>
          <w:sz w:val="22"/>
        </w:rPr>
        <w:t>, plurilateral. Límites: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Dudas sobre procesos y métodos de producción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Evaluación de la conformidad insuficiente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 subestatales, regionales y no gubernamentales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vinculaba a firmantes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Ronda Uruguay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Acuerdo OTC</w:t>
      </w:r>
      <w:r>
        <w:rPr>
          <w:rFonts w:ascii="Cambria" w:hAnsi="Cambria" w:cs="Cambria" w:eastAsia="Cambria"/>
          <w:sz w:val="22"/>
        </w:rPr>
        <w:t xml:space="preserve">, parte del «todo único», obligatorio desde el </w:t>
      </w:r>
      <w:r>
        <w:rPr>
          <w:rFonts w:ascii="Cambria" w:hAnsi="Cambria" w:cs="Cambria" w:eastAsia="Cambria"/>
          <w:b/>
          <w:sz w:val="22"/>
        </w:rPr>
        <w:t>1 de enero de 1995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Exclusiones: medidas </w:t>
      </w:r>
      <w:r>
        <w:rPr>
          <w:rFonts w:ascii="Cambria" w:hAnsi="Cambria" w:cs="Cambria" w:eastAsia="Cambria"/>
          <w:b/>
          <w:sz w:val="22"/>
        </w:rPr>
        <w:t>MSF</w:t>
      </w:r>
      <w:r>
        <w:rPr>
          <w:rFonts w:ascii="Cambria" w:hAnsi="Cambria" w:cs="Cambria" w:eastAsia="Cambria"/>
          <w:sz w:val="22"/>
        </w:rPr>
        <w:t xml:space="preserve"> (anexo A, </w:t>
      </w:r>
      <w:r>
        <w:rPr>
          <w:rFonts w:ascii="Cambria" w:hAnsi="Cambria" w:cs="Cambria" w:eastAsia="Cambria"/>
          <w:b/>
          <w:sz w:val="22"/>
        </w:rPr>
        <w:t>art. 1.5</w:t>
      </w:r>
      <w:r>
        <w:rPr>
          <w:rFonts w:ascii="Cambria" w:hAnsi="Cambria" w:cs="Cambria" w:eastAsia="Cambria"/>
          <w:sz w:val="22"/>
        </w:rPr>
        <w:t xml:space="preserve">, Acuerdo MSF) y </w:t>
      </w:r>
      <w:r>
        <w:rPr>
          <w:rFonts w:ascii="Cambria" w:hAnsi="Cambria" w:cs="Cambria" w:eastAsia="Cambria"/>
          <w:b/>
          <w:sz w:val="22"/>
        </w:rPr>
        <w:t>compras públicas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1.4</w:t>
      </w:r>
      <w:r>
        <w:rPr>
          <w:rFonts w:ascii="Cambria" w:hAnsi="Cambria" w:cs="Cambria" w:eastAsia="Cambria"/>
          <w:sz w:val="22"/>
        </w:rPr>
        <w:t>, Acuerdo plurilateral de Contratación Pública)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Objetivo y definiciones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Evitar </w:t>
      </w:r>
      <w:r>
        <w:rPr>
          <w:rFonts w:ascii="Cambria" w:hAnsi="Cambria" w:cs="Cambria" w:eastAsia="Cambria"/>
          <w:b/>
          <w:sz w:val="22"/>
        </w:rPr>
        <w:t>obstáculos innecesarios</w:t>
      </w:r>
      <w:r>
        <w:rPr>
          <w:rFonts w:ascii="Cambria" w:hAnsi="Cambria" w:cs="Cambria" w:eastAsia="Cambria"/>
          <w:sz w:val="22"/>
        </w:rPr>
        <w:t xml:space="preserve"> respetando el derecho a regular por </w:t>
      </w:r>
      <w:r>
        <w:rPr>
          <w:rFonts w:ascii="Cambria" w:hAnsi="Cambria" w:cs="Cambria" w:eastAsia="Cambria"/>
          <w:b/>
          <w:sz w:val="22"/>
        </w:rPr>
        <w:t>objetivos legítimos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2.2</w:t>
      </w:r>
      <w:r>
        <w:rPr>
          <w:rFonts w:ascii="Cambria" w:hAnsi="Cambria" w:cs="Cambria" w:eastAsia="Cambria"/>
          <w:sz w:val="22"/>
        </w:rPr>
        <w:t>): seguridad nacional, prácticas engañosas, salud y seguridad humanas, vida y salud animal o vegetal, medio ambiente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Anexo 1</w:t>
      </w:r>
      <w:r>
        <w:rPr>
          <w:rFonts w:ascii="Cambria" w:hAnsi="Cambria" w:cs="Cambria" w:eastAsia="Cambria"/>
          <w:sz w:val="22"/>
        </w:rPr>
        <w:t>, tres categorías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Reglamentos técnicos</w:t>
      </w:r>
      <w:r>
        <w:rPr>
          <w:rFonts w:ascii="Cambria" w:hAnsi="Cambria" w:cs="Cambria" w:eastAsia="Cambria"/>
          <w:sz w:val="22"/>
        </w:rPr>
        <w:t xml:space="preserve">: características de producto o procesos y métodos de producción, </w:t>
      </w:r>
      <w:r>
        <w:rPr>
          <w:rFonts w:ascii="Cambria" w:hAnsi="Cambria" w:cs="Cambria" w:eastAsia="Cambria"/>
          <w:b/>
          <w:sz w:val="22"/>
        </w:rPr>
        <w:t>obligatorios</w:t>
      </w:r>
      <w:r>
        <w:rPr>
          <w:rFonts w:ascii="Cambria" w:hAnsi="Cambria" w:cs="Cambria" w:eastAsia="Cambria"/>
          <w:sz w:val="22"/>
        </w:rPr>
        <w:t>. Terminología, símbolos, embalaje, marcado, etiquetado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</w:t>
      </w:r>
      <w:r>
        <w:rPr>
          <w:rFonts w:ascii="Cambria" w:hAnsi="Cambria" w:cs="Cambria" w:eastAsia="Cambria"/>
          <w:sz w:val="22"/>
        </w:rPr>
        <w:t xml:space="preserve">: aprobadas por institución reconocida, uso común y repetido, </w:t>
      </w:r>
      <w:r>
        <w:rPr>
          <w:rFonts w:ascii="Cambria" w:hAnsi="Cambria" w:cs="Cambria" w:eastAsia="Cambria"/>
          <w:b/>
          <w:sz w:val="22"/>
        </w:rPr>
        <w:t>no obligatorias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Procedimientos de evaluación de la conformidad</w:t>
      </w:r>
      <w:r>
        <w:rPr>
          <w:rFonts w:ascii="Cambria" w:hAnsi="Cambria" w:cs="Cambria" w:eastAsia="Cambria"/>
          <w:sz w:val="22"/>
        </w:rPr>
        <w:t>: muestreo, prueba, inspección, verificación, registro, acreditación, aprobación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Principios básicos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Soberanía</w:t>
      </w:r>
      <w:r>
        <w:rPr>
          <w:rFonts w:ascii="Cambria" w:hAnsi="Cambria" w:cs="Cambria" w:eastAsia="Cambria"/>
          <w:sz w:val="22"/>
        </w:rPr>
        <w:t xml:space="preserve"> o derecho a regular con el nivel de protección apropiado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discriminación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2.1</w:t>
      </w:r>
      <w:r>
        <w:rPr>
          <w:rFonts w:ascii="Cambria" w:hAnsi="Cambria" w:cs="Cambria" w:eastAsia="Cambria"/>
          <w:sz w:val="22"/>
        </w:rPr>
        <w:t>): trato nacional y nación más favorecida, también en evaluación de la conformidad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Necesidad y proporcionalidad</w:t>
      </w:r>
      <w:r>
        <w:rPr>
          <w:rFonts w:ascii="Cambria" w:hAnsi="Cambria" w:cs="Cambria" w:eastAsia="Cambria"/>
          <w:sz w:val="22"/>
        </w:rPr>
        <w:t>: no restringir más de lo necesario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Armonización</w:t>
      </w:r>
      <w:r>
        <w:rPr>
          <w:rFonts w:ascii="Cambria" w:hAnsi="Cambria" w:cs="Cambria" w:eastAsia="Cambria"/>
          <w:sz w:val="22"/>
        </w:rPr>
        <w:t xml:space="preserve">: normas internacionales como base, salvo ineficaces o inapropiadas. </w:t>
      </w:r>
      <w:r>
        <w:rPr>
          <w:rFonts w:ascii="Cambria" w:hAnsi="Cambria" w:cs="Cambria" w:eastAsia="Cambria"/>
          <w:b/>
          <w:sz w:val="22"/>
        </w:rPr>
        <w:t>Presunción</w:t>
      </w:r>
      <w:r>
        <w:rPr>
          <w:rFonts w:ascii="Cambria" w:hAnsi="Cambria" w:cs="Cambria" w:eastAsia="Cambria"/>
          <w:sz w:val="22"/>
        </w:rPr>
        <w:t xml:space="preserve"> de no obstáculo innecesario. Comité, </w:t>
      </w:r>
      <w:r>
        <w:rPr>
          <w:rFonts w:ascii="Cambria" w:hAnsi="Cambria" w:cs="Cambria" w:eastAsia="Cambria"/>
          <w:b/>
          <w:sz w:val="22"/>
        </w:rPr>
        <w:t>2000</w:t>
      </w:r>
      <w:r>
        <w:rPr>
          <w:rFonts w:ascii="Cambria" w:hAnsi="Cambria" w:cs="Cambria" w:eastAsia="Cambria"/>
          <w:sz w:val="22"/>
        </w:rPr>
        <w:t>: seis principios (transparencia, apertura, imparcialidad y consenso, eficacia y pertinencia, coherencia, dimensión de desarrollo)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Equivalencia y reconocimiento mutuo</w:t>
      </w:r>
      <w:r>
        <w:rPr>
          <w:rFonts w:ascii="Cambria" w:hAnsi="Cambria" w:cs="Cambria" w:eastAsia="Cambria"/>
          <w:sz w:val="22"/>
        </w:rPr>
        <w:t xml:space="preserve">: considerar favorablemente la equivalencia. Se anima a negociar </w:t>
      </w:r>
      <w:r>
        <w:rPr>
          <w:rFonts w:ascii="Cambria" w:hAnsi="Cambria" w:cs="Cambria" w:eastAsia="Cambria"/>
          <w:b/>
          <w:sz w:val="22"/>
        </w:rPr>
        <w:t>ARM</w:t>
      </w:r>
      <w:r>
        <w:rPr>
          <w:rFonts w:ascii="Cambria" w:hAnsi="Cambria" w:cs="Cambria" w:eastAsia="Cambria"/>
          <w:sz w:val="22"/>
        </w:rPr>
        <w:t>, sin obligar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Trato especial y diferenciado</w:t>
      </w:r>
      <w:r>
        <w:rPr>
          <w:rFonts w:ascii="Cambria" w:hAnsi="Cambria" w:cs="Cambria" w:eastAsia="Cambria"/>
          <w:sz w:val="22"/>
        </w:rPr>
        <w:t xml:space="preserve"> y asistencia técnica a países en desarrollo y menos adelantados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Transparencia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Notificación</w:t>
      </w:r>
      <w:r>
        <w:rPr>
          <w:rFonts w:ascii="Cambria" w:hAnsi="Cambria" w:cs="Cambria" w:eastAsia="Cambria"/>
          <w:sz w:val="22"/>
        </w:rPr>
        <w:t xml:space="preserve"> por la Secretaría de la OMC (</w:t>
      </w:r>
      <w:r>
        <w:rPr>
          <w:rFonts w:ascii="Cambria" w:hAnsi="Cambria" w:cs="Cambria" w:eastAsia="Cambria"/>
          <w:b/>
          <w:sz w:val="22"/>
        </w:rPr>
        <w:t>arts. 2.9 y 5.6</w:t>
      </w:r>
      <w:r>
        <w:rPr>
          <w:rFonts w:ascii="Cambria" w:hAnsi="Cambria" w:cs="Cambria" w:eastAsia="Cambria"/>
          <w:sz w:val="22"/>
        </w:rPr>
        <w:t xml:space="preserve">): proyectos sin norma internacional o que se aparten de ella y con efecto significativo. Etapa temprana, plazo de observaciones de al menos </w:t>
      </w:r>
      <w:r>
        <w:rPr>
          <w:rFonts w:ascii="Cambria" w:hAnsi="Cambria" w:cs="Cambria" w:eastAsia="Cambria"/>
          <w:b/>
          <w:sz w:val="22"/>
        </w:rPr>
        <w:t>60 días</w:t>
      </w:r>
      <w:r>
        <w:rPr>
          <w:rFonts w:ascii="Cambria" w:hAnsi="Cambria" w:cs="Cambria" w:eastAsia="Cambria"/>
          <w:sz w:val="22"/>
        </w:rPr>
        <w:t>. Urgencias: notificación posterior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Servicios de información</w:t>
      </w:r>
      <w:r>
        <w:rPr>
          <w:rFonts w:ascii="Cambria" w:hAnsi="Cambria" w:cs="Cambria" w:eastAsia="Cambria"/>
          <w:sz w:val="22"/>
        </w:rPr>
        <w:t xml:space="preserve">: en España,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(reglamentos y evaluación de la conformidad) y </w:t>
      </w:r>
      <w:r>
        <w:rPr>
          <w:rFonts w:ascii="Cambria" w:hAnsi="Cambria" w:cs="Cambria" w:eastAsia="Cambria"/>
          <w:b/>
          <w:sz w:val="22"/>
        </w:rPr>
        <w:t>UNE</w:t>
      </w:r>
      <w:r>
        <w:rPr>
          <w:rFonts w:ascii="Cambria" w:hAnsi="Cambria" w:cs="Cambria" w:eastAsia="Cambria"/>
          <w:sz w:val="22"/>
        </w:rPr>
        <w:t xml:space="preserve"> (normas, desde </w:t>
      </w:r>
      <w:r>
        <w:rPr>
          <w:rFonts w:ascii="Cambria" w:hAnsi="Cambria" w:cs="Cambria" w:eastAsia="Cambria"/>
          <w:b/>
          <w:sz w:val="22"/>
        </w:rPr>
        <w:t>2017</w:t>
      </w:r>
      <w:r>
        <w:rPr>
          <w:rFonts w:ascii="Cambria" w:hAnsi="Cambria" w:cs="Cambria" w:eastAsia="Cambria"/>
          <w:sz w:val="22"/>
        </w:rPr>
        <w:t xml:space="preserve"> asume la actividad de AENOR). Notifica la </w:t>
      </w:r>
      <w:r>
        <w:rPr>
          <w:rFonts w:ascii="Cambria" w:hAnsi="Cambria" w:cs="Cambria" w:eastAsia="Cambria"/>
          <w:b/>
          <w:sz w:val="22"/>
        </w:rPr>
        <w:t>Comisión</w:t>
      </w:r>
      <w:r>
        <w:rPr>
          <w:rFonts w:ascii="Cambria" w:hAnsi="Cambria" w:cs="Cambria" w:eastAsia="Cambria"/>
          <w:sz w:val="22"/>
        </w:rPr>
        <w:t xml:space="preserve"> por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Código de Buena Conducta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anexo 3</w:t>
      </w:r>
      <w:r>
        <w:rPr>
          <w:rFonts w:ascii="Cambria" w:hAnsi="Cambria" w:cs="Cambria" w:eastAsia="Cambria"/>
          <w:sz w:val="22"/>
        </w:rPr>
        <w:t>): abierto a cualquier institución de normalización. Miembros garantizan su cumplimiento por el gobierno central y medidas razonables para los demás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Funcionamiento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Comité OTC</w:t>
      </w:r>
      <w:r>
        <w:rPr>
          <w:rFonts w:ascii="Cambria" w:hAnsi="Cambria" w:cs="Cambria" w:eastAsia="Cambria"/>
          <w:sz w:val="22"/>
        </w:rPr>
        <w:t xml:space="preserve">: todos los miembros, administra el Acuerdo, </w:t>
      </w:r>
      <w:r>
        <w:rPr>
          <w:rFonts w:ascii="Cambria" w:hAnsi="Cambria" w:cs="Cambria" w:eastAsia="Cambria"/>
          <w:b/>
          <w:sz w:val="22"/>
        </w:rPr>
        <w:t>no resuelve diferencias</w:t>
      </w:r>
      <w:r>
        <w:rPr>
          <w:rFonts w:ascii="Cambria" w:hAnsi="Cambria" w:cs="Cambria" w:eastAsia="Cambria"/>
          <w:sz w:val="22"/>
        </w:rPr>
        <w:t>. Tres reuniones al 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Preocupaciones comerciales específicas</w:t>
      </w:r>
      <w:r>
        <w:rPr>
          <w:rFonts w:ascii="Cambria" w:hAnsi="Cambria" w:cs="Cambria" w:eastAsia="Cambria"/>
          <w:sz w:val="22"/>
        </w:rPr>
        <w:t xml:space="preserve">: ciberseguridad, químicos, etiquetado, descarbonización. Consulta en </w:t>
      </w:r>
      <w:r>
        <w:rPr>
          <w:rFonts w:ascii="Cambria" w:hAnsi="Cambria" w:cs="Cambria" w:eastAsia="Cambria"/>
          <w:b/>
          <w:sz w:val="22"/>
        </w:rPr>
        <w:t>TBT IMS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Mejora de la aplicación</w:t>
      </w:r>
      <w:r>
        <w:rPr>
          <w:rFonts w:ascii="Cambria" w:hAnsi="Cambria" w:cs="Cambria" w:eastAsia="Cambria"/>
          <w:sz w:val="22"/>
        </w:rPr>
        <w:t>: transparencia, normas, evaluación de la conformidad, buenas prácticas. Directrices sobre evaluación de la conformidad (</w:t>
      </w:r>
      <w:r>
        <w:rPr>
          <w:rFonts w:ascii="Cambria" w:hAnsi="Cambria" w:cs="Cambria" w:eastAsia="Cambria"/>
          <w:b/>
          <w:sz w:val="22"/>
        </w:rPr>
        <w:t>2024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Exámenes trienales</w:t>
      </w:r>
      <w:r>
        <w:rPr>
          <w:rFonts w:ascii="Cambria" w:hAnsi="Cambria" w:cs="Cambria" w:eastAsia="Cambria"/>
          <w:sz w:val="22"/>
        </w:rPr>
        <w:t xml:space="preserve">: décimo (nov. </w:t>
      </w:r>
      <w:r>
        <w:rPr>
          <w:rFonts w:ascii="Cambria" w:hAnsi="Cambria" w:cs="Cambria" w:eastAsia="Cambria"/>
          <w:b/>
          <w:sz w:val="22"/>
        </w:rPr>
        <w:t>2024</w:t>
      </w:r>
      <w:r>
        <w:rPr>
          <w:rFonts w:ascii="Cambria" w:hAnsi="Cambria" w:cs="Cambria" w:eastAsia="Cambria"/>
          <w:sz w:val="22"/>
        </w:rPr>
        <w:t xml:space="preserve">), trabajo </w:t>
      </w:r>
      <w:r>
        <w:rPr>
          <w:rFonts w:ascii="Cambria" w:hAnsi="Cambria" w:cs="Cambria" w:eastAsia="Cambria"/>
          <w:b/>
          <w:sz w:val="22"/>
        </w:rPr>
        <w:t>2025-2027</w:t>
      </w:r>
      <w:r>
        <w:rPr>
          <w:rFonts w:ascii="Cambria" w:hAnsi="Cambria" w:cs="Cambria" w:eastAsia="Cambria"/>
          <w:sz w:val="22"/>
        </w:rPr>
        <w:t xml:space="preserve"> (descarbonización, tecnologías críticas e </w:t>
      </w:r>
      <w:r>
        <w:rPr>
          <w:rFonts w:ascii="Cambria" w:hAnsi="Cambria" w:cs="Cambria" w:eastAsia="Cambria"/>
          <w:b/>
          <w:sz w:val="22"/>
        </w:rPr>
        <w:t>IA</w:t>
      </w:r>
      <w:r>
        <w:rPr>
          <w:rFonts w:ascii="Cambria" w:hAnsi="Cambria" w:cs="Cambria" w:eastAsia="Cambria"/>
          <w:sz w:val="22"/>
        </w:rPr>
        <w:t xml:space="preserve">). Undécimo previsto desde nov. </w:t>
      </w:r>
      <w:r>
        <w:rPr>
          <w:rFonts w:ascii="Cambria" w:hAnsi="Cambria" w:cs="Cambria" w:eastAsia="Cambria"/>
          <w:b/>
          <w:sz w:val="22"/>
        </w:rPr>
        <w:t>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Solución de diferencias</w:t>
      </w:r>
      <w:r>
        <w:rPr>
          <w:rFonts w:ascii="Cambria" w:hAnsi="Cambria" w:cs="Cambria" w:eastAsia="Cambria"/>
          <w:sz w:val="22"/>
        </w:rPr>
        <w:t>: ESD de la OMC (consultas, grupo especial, apelación, contramedidas), con grupos de expertos técnicos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Casos: </w:t>
      </w:r>
      <w:r>
        <w:rPr>
          <w:rFonts w:ascii="Cambria" w:hAnsi="Cambria" w:cs="Cambria" w:eastAsia="Cambria"/>
          <w:b/>
          <w:sz w:val="22"/>
        </w:rPr>
        <w:t>Sardinas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Cigarrillos de clavo de olor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Atún II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Etiquetado del país de origen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Empaquetado genérico del tabaco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Órgano de Apelación paralizado desde </w:t>
      </w:r>
      <w:r>
        <w:rPr>
          <w:rFonts w:ascii="Cambria" w:hAnsi="Cambria" w:cs="Cambria" w:eastAsia="Cambria"/>
          <w:b/>
          <w:sz w:val="22"/>
        </w:rPr>
        <w:t>dic. 2019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MPIA</w:t>
      </w:r>
      <w:r>
        <w:rPr>
          <w:rFonts w:ascii="Cambria" w:hAnsi="Cambria" w:cs="Cambria" w:eastAsia="Cambria"/>
          <w:sz w:val="22"/>
        </w:rPr>
        <w:t xml:space="preserve"> (art. 25 ESD)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Abu Dabi 2024</w:t>
      </w:r>
      <w:r>
        <w:rPr>
          <w:rFonts w:ascii="Cambria" w:hAnsi="Cambria" w:cs="Cambria" w:eastAsia="Cambria"/>
          <w:sz w:val="22"/>
        </w:rPr>
        <w:t xml:space="preserve"> (XIII Conferencia Ministerial): declaración sobre cooperación reglamentaria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Los instrumentos de la Unión frente a los obstáculos técnicos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Mercado único, tres principios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Armonización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Nuevo Enfoque</w:t>
      </w:r>
      <w:r>
        <w:rPr>
          <w:rFonts w:ascii="Cambria" w:hAnsi="Cambria" w:cs="Cambria" w:eastAsia="Cambria"/>
          <w:sz w:val="22"/>
        </w:rPr>
        <w:t xml:space="preserve"> (Resolución 1985, requisitos esenciales y normas armonizadas con presunción de conformidad), </w:t>
      </w:r>
      <w:r>
        <w:rPr>
          <w:rFonts w:ascii="Cambria" w:hAnsi="Cambria" w:cs="Cambria" w:eastAsia="Cambria"/>
          <w:b/>
          <w:sz w:val="22"/>
        </w:rPr>
        <w:t>Enfoque Global</w:t>
      </w:r>
      <w:r>
        <w:rPr>
          <w:rFonts w:ascii="Cambria" w:hAnsi="Cambria" w:cs="Cambria" w:eastAsia="Cambria"/>
          <w:sz w:val="22"/>
        </w:rPr>
        <w:t xml:space="preserve"> (1989), </w:t>
      </w:r>
      <w:r>
        <w:rPr>
          <w:rFonts w:ascii="Cambria" w:hAnsi="Cambria" w:cs="Cambria" w:eastAsia="Cambria"/>
          <w:b/>
          <w:sz w:val="22"/>
        </w:rPr>
        <w:t>Nuevo Marco Legislativo</w:t>
      </w:r>
      <w:r>
        <w:rPr>
          <w:rFonts w:ascii="Cambria" w:hAnsi="Cambria" w:cs="Cambria" w:eastAsia="Cambria"/>
          <w:sz w:val="22"/>
        </w:rPr>
        <w:t xml:space="preserve"> (2008, </w:t>
      </w: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Decisión 768/2008/CE</w:t>
      </w:r>
      <w:r>
        <w:rPr>
          <w:rFonts w:ascii="Cambria" w:hAnsi="Cambria" w:cs="Cambria" w:eastAsia="Cambria"/>
          <w:sz w:val="22"/>
        </w:rPr>
        <w:t xml:space="preserve">). Vigilancia de mercado: </w:t>
      </w: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 xml:space="preserve">. Seguridad de productos: </w:t>
      </w:r>
      <w:r>
        <w:rPr>
          <w:rFonts w:ascii="Cambria" w:hAnsi="Cambria" w:cs="Cambria" w:eastAsia="Cambria"/>
          <w:b/>
          <w:sz w:val="22"/>
        </w:rPr>
        <w:t>Reglamento (UE) 2023/988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Reconocimiento mutuo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Cassis de Dijon (1979)</w:t>
      </w:r>
      <w:r>
        <w:rPr>
          <w:rFonts w:ascii="Cambria" w:hAnsi="Cambria" w:cs="Cambria" w:eastAsia="Cambria"/>
          <w:sz w:val="22"/>
        </w:rPr>
        <w:t xml:space="preserve">. Producto legal en un Estado, comercializable en otros salvo razones imperiosas de interés general proporcionadas. </w:t>
      </w:r>
      <w:r>
        <w:rPr>
          <w:rFonts w:ascii="Cambria" w:hAnsi="Cambria" w:cs="Cambria" w:eastAsia="Cambria"/>
          <w:b/>
          <w:sz w:val="22"/>
        </w:rPr>
        <w:t>Reglamento (UE) 2019/515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Transparencia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Directiva (UE) 2015/1535</w:t>
      </w:r>
      <w:r>
        <w:rPr>
          <w:rFonts w:ascii="Cambria" w:hAnsi="Cambria" w:cs="Cambria" w:eastAsia="Cambria"/>
          <w:sz w:val="22"/>
        </w:rPr>
        <w:t xml:space="preserve">, notificación vía </w:t>
      </w:r>
      <w:r>
        <w:rPr>
          <w:rFonts w:ascii="Cambria" w:hAnsi="Cambria" w:cs="Cambria" w:eastAsia="Cambria"/>
          <w:b/>
          <w:sz w:val="22"/>
        </w:rPr>
        <w:t>TRIS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statu quo</w:t>
      </w:r>
      <w:r>
        <w:rPr>
          <w:rFonts w:ascii="Cambria" w:hAnsi="Cambria" w:cs="Cambria" w:eastAsia="Cambria"/>
          <w:sz w:val="22"/>
        </w:rPr>
        <w:t xml:space="preserve"> de al menos tres meses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Mecanismos correctores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2679/98</w:t>
      </w:r>
      <w:r>
        <w:rPr>
          <w:rFonts w:ascii="Cambria" w:hAnsi="Cambria" w:cs="Cambria" w:eastAsia="Cambria"/>
          <w:sz w:val="22"/>
        </w:rPr>
        <w:t xml:space="preserve"> («</w:t>
      </w:r>
      <w:r>
        <w:rPr>
          <w:rFonts w:ascii="Cambria" w:hAnsi="Cambria" w:cs="Cambria" w:eastAsia="Cambria"/>
          <w:b/>
          <w:sz w:val="22"/>
        </w:rPr>
        <w:t>Reglamento fresas</w:t>
      </w:r>
      <w:r>
        <w:rPr>
          <w:rFonts w:ascii="Cambria" w:hAnsi="Cambria" w:cs="Cambria" w:eastAsia="Cambria"/>
          <w:sz w:val="22"/>
        </w:rPr>
        <w:t xml:space="preserve">», art. 352 TFUE): obstáculos graves por acción o inacción de un Estado. </w:t>
      </w:r>
      <w:r>
        <w:rPr>
          <w:rFonts w:ascii="Cambria" w:hAnsi="Cambria" w:cs="Cambria" w:eastAsia="Cambria"/>
          <w:b/>
          <w:sz w:val="22"/>
        </w:rPr>
        <w:t>Modificado</w:t>
      </w:r>
      <w:r>
        <w:rPr>
          <w:rFonts w:ascii="Cambria" w:hAnsi="Cambria" w:cs="Cambria" w:eastAsia="Cambria"/>
          <w:sz w:val="22"/>
        </w:rPr>
        <w:t xml:space="preserve"> por el </w:t>
      </w:r>
      <w:r>
        <w:rPr>
          <w:rFonts w:ascii="Cambria" w:hAnsi="Cambria" w:cs="Cambria" w:eastAsia="Cambria"/>
          <w:b/>
          <w:sz w:val="22"/>
        </w:rPr>
        <w:t>Reglamento (UE) 2024/2747 (IMERA)</w:t>
      </w:r>
      <w:r>
        <w:rPr>
          <w:rFonts w:ascii="Cambria" w:hAnsi="Cambria" w:cs="Cambria" w:eastAsia="Cambria"/>
          <w:sz w:val="22"/>
        </w:rPr>
        <w:t xml:space="preserve">, aplicable desde el </w:t>
      </w:r>
      <w:r>
        <w:rPr>
          <w:rFonts w:ascii="Cambria" w:hAnsi="Cambria" w:cs="Cambria" w:eastAsia="Cambria"/>
          <w:b/>
          <w:sz w:val="22"/>
        </w:rPr>
        <w:t>29 de mayo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SOLVIT</w:t>
      </w:r>
      <w:r>
        <w:rPr>
          <w:rFonts w:ascii="Cambria" w:hAnsi="Cambria" w:cs="Cambria" w:eastAsia="Cambria"/>
          <w:sz w:val="22"/>
        </w:rPr>
        <w:t xml:space="preserve"> (desde 2002): gratuito y extrajudicial, UE más Islandia, Liechtenstein y Noruega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Procedimiento de infracción</w:t>
      </w:r>
      <w:r>
        <w:rPr>
          <w:rFonts w:ascii="Cambria" w:hAnsi="Cambria" w:cs="Cambria" w:eastAsia="Cambria"/>
          <w:sz w:val="22"/>
        </w:rPr>
        <w:t xml:space="preserve"> y Grupo de Trabajo para la Aplicación de las Normas del Mercado Único (</w:t>
      </w:r>
      <w:r>
        <w:rPr>
          <w:rFonts w:ascii="Cambria" w:hAnsi="Cambria" w:cs="Cambria" w:eastAsia="Cambria"/>
          <w:b/>
          <w:sz w:val="22"/>
        </w:rPr>
        <w:t>2020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Ámbito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sobre Obstáculos al Comercio</w:t>
      </w:r>
      <w:r>
        <w:rPr>
          <w:rFonts w:ascii="Cambria" w:hAnsi="Cambria" w:cs="Cambria" w:eastAsia="Cambria"/>
          <w:sz w:val="22"/>
        </w:rPr>
        <w:t xml:space="preserve"> y capítulos </w:t>
      </w:r>
      <w:r>
        <w:rPr>
          <w:rFonts w:ascii="Cambria" w:hAnsi="Cambria" w:cs="Cambria" w:eastAsia="Cambria"/>
          <w:b/>
          <w:sz w:val="22"/>
        </w:rPr>
        <w:t>OTC y MSF</w:t>
      </w:r>
      <w:r>
        <w:rPr>
          <w:rFonts w:ascii="Cambria" w:hAnsi="Cambria" w:cs="Cambria" w:eastAsia="Cambria"/>
          <w:sz w:val="22"/>
        </w:rPr>
        <w:t xml:space="preserve"> de acuerdos comerciales, más allá del Acuerdo OTC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ARM</w:t>
      </w:r>
      <w:r>
        <w:rPr>
          <w:rFonts w:ascii="Cambria" w:hAnsi="Cambria" w:cs="Cambria" w:eastAsia="Cambria"/>
          <w:sz w:val="22"/>
        </w:rPr>
        <w:t xml:space="preserve"> sectoriales con EEUU, Canadá, Japón, Australia, Nueva Zelanda, Suiza e Israel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Capítulo MSF del Acuerdo con </w:t>
      </w:r>
      <w:r>
        <w:rPr>
          <w:rFonts w:ascii="Cambria" w:hAnsi="Cambria" w:cs="Cambria" w:eastAsia="Cambria"/>
          <w:b/>
          <w:sz w:val="22"/>
        </w:rPr>
        <w:t>Chile (2002)</w:t>
      </w:r>
      <w:r>
        <w:rPr>
          <w:rFonts w:ascii="Cambria" w:hAnsi="Cambria" w:cs="Cambria" w:eastAsia="Cambria"/>
          <w:sz w:val="22"/>
        </w:rPr>
        <w:t>, pionero en bienestar animal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EL PORTAL ACCESS2MARKETS DE LA COMISIÓN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Origen y funciones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1996</w:t>
      </w:r>
      <w:r>
        <w:rPr>
          <w:rFonts w:ascii="Cambria" w:hAnsi="Cambria" w:cs="Cambria" w:eastAsia="Cambria"/>
          <w:sz w:val="22"/>
        </w:rPr>
        <w:t xml:space="preserve">: Base de Datos de Acceso a los Mercados. </w:t>
      </w:r>
      <w:r>
        <w:rPr>
          <w:rFonts w:ascii="Cambria" w:hAnsi="Cambria" w:cs="Cambria" w:eastAsia="Cambria"/>
          <w:b/>
          <w:sz w:val="22"/>
        </w:rPr>
        <w:t>Octubre 2020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Access2Markets</w:t>
      </w:r>
      <w:r>
        <w:rPr>
          <w:rFonts w:ascii="Cambria" w:hAnsi="Cambria" w:cs="Cambria" w:eastAsia="Cambria"/>
          <w:sz w:val="22"/>
        </w:rPr>
        <w:t>, integra esa base y el Trade Helpdesk. Gratuito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Identificar, clasificar y seguir barreras y medidas para eliminarlas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Informar sobre aranceles, impuestos, aduanas, origen, requisitos y estadísticas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Guiar a las empresas, sobre todo </w:t>
      </w:r>
      <w:r>
        <w:rPr>
          <w:rFonts w:ascii="Cambria" w:hAnsi="Cambria" w:cs="Cambria" w:eastAsia="Cambria"/>
          <w:b/>
          <w:sz w:val="22"/>
        </w:rPr>
        <w:t>pymes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Canal con autoridades europeas y control del cumplimiento de socios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Estructura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My Trade Assistant</w:t>
      </w:r>
      <w:r>
        <w:rPr>
          <w:rFonts w:ascii="Cambria" w:hAnsi="Cambria" w:cs="Cambria" w:eastAsia="Cambria"/>
          <w:sz w:val="22"/>
        </w:rPr>
        <w:t xml:space="preserve">: herramienta central por producto y países. Más de </w:t>
      </w:r>
      <w:r>
        <w:rPr>
          <w:rFonts w:ascii="Cambria" w:hAnsi="Cambria" w:cs="Cambria" w:eastAsia="Cambria"/>
          <w:b/>
          <w:sz w:val="22"/>
        </w:rPr>
        <w:t>120 mercados</w:t>
      </w:r>
      <w:r>
        <w:rPr>
          <w:rFonts w:ascii="Cambria" w:hAnsi="Cambria" w:cs="Cambria" w:eastAsia="Cambria"/>
          <w:sz w:val="22"/>
        </w:rPr>
        <w:t xml:space="preserve"> de exportación e importaciones en la UE. Versiones de servicios, inversiones y contratación pública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ROSA</w:t>
      </w:r>
      <w:r>
        <w:rPr>
          <w:rFonts w:ascii="Cambria" w:hAnsi="Cambria" w:cs="Cambria" w:eastAsia="Cambria"/>
          <w:sz w:val="22"/>
        </w:rPr>
        <w:t>: autoevaluación de normas de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Acuerdos comerciales</w:t>
      </w:r>
      <w:r>
        <w:rPr>
          <w:rFonts w:ascii="Cambria" w:hAnsi="Cambria" w:cs="Cambria" w:eastAsia="Cambria"/>
          <w:sz w:val="22"/>
        </w:rPr>
        <w:t>: libre comercio, AAE, SPG, EEE, uniones aduaneras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Barreras comerciales y Punto Único de Entrada</w:t>
      </w:r>
      <w:r>
        <w:rPr>
          <w:rFonts w:ascii="Cambria" w:hAnsi="Cambria" w:cs="Cambria" w:eastAsia="Cambria"/>
          <w:sz w:val="22"/>
        </w:rPr>
        <w:t xml:space="preserve"> (noviembre </w:t>
      </w:r>
      <w:r>
        <w:rPr>
          <w:rFonts w:ascii="Cambria" w:hAnsi="Cambria" w:cs="Cambria" w:eastAsia="Cambria"/>
          <w:b/>
          <w:sz w:val="22"/>
        </w:rPr>
        <w:t>2020</w:t>
      </w:r>
      <w:r>
        <w:rPr>
          <w:rFonts w:ascii="Cambria" w:hAnsi="Cambria" w:cs="Cambria" w:eastAsia="Cambria"/>
          <w:sz w:val="22"/>
        </w:rPr>
        <w:t xml:space="preserve">): base de barreras por país, sector y tipo. Denuncias de barreras e incumplimientos de comercio y desarrollo sostenible y SPG, bajo el </w:t>
      </w:r>
      <w:r>
        <w:rPr>
          <w:rFonts w:ascii="Cambria" w:hAnsi="Cambria" w:cs="Cambria" w:eastAsia="Cambria"/>
          <w:b/>
          <w:sz w:val="22"/>
        </w:rPr>
        <w:t>Responsable Principal de la Aplicación de la Política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Guías y recursos</w:t>
      </w:r>
      <w:r>
        <w:rPr>
          <w:rFonts w:ascii="Cambria" w:hAnsi="Cambria" w:cs="Cambria" w:eastAsia="Cambria"/>
          <w:sz w:val="22"/>
        </w:rPr>
        <w:t>: guías, glosario, tutoriales, FAQ, sección pyme, contactos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Gestión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Estrategia de acceso a los mercados, reforzada por la </w:t>
      </w:r>
      <w:r>
        <w:rPr>
          <w:rFonts w:ascii="Cambria" w:hAnsi="Cambria" w:cs="Cambria" w:eastAsia="Cambria"/>
          <w:b/>
          <w:sz w:val="22"/>
        </w:rPr>
        <w:t>Comunicación de 2007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Asociación para el Acceso a los Mercados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Comisión</w:t>
      </w:r>
      <w:r>
        <w:rPr>
          <w:rFonts w:ascii="Cambria" w:hAnsi="Cambria" w:cs="Cambria" w:eastAsia="Cambria"/>
          <w:sz w:val="22"/>
        </w:rPr>
        <w:t xml:space="preserve"> (coordina el Comité Consultivo de Acceso a los Mercados)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Estados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Empresas y asociaciones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Equipos en terceros países</w:t>
      </w:r>
      <w:r>
        <w:rPr>
          <w:rFonts w:ascii="Cambria" w:hAnsi="Cambria" w:cs="Cambria" w:eastAsia="Cambria"/>
          <w:sz w:val="22"/>
        </w:rPr>
        <w:t xml:space="preserve"> (delegaciones, embajadas, cámaras)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Desde </w:t>
      </w:r>
      <w:r>
        <w:rPr>
          <w:rFonts w:ascii="Cambria" w:hAnsi="Cambria" w:cs="Cambria" w:eastAsia="Cambria"/>
          <w:b/>
          <w:sz w:val="22"/>
        </w:rPr>
        <w:t>2020</w:t>
      </w:r>
      <w:r>
        <w:rPr>
          <w:rFonts w:ascii="Cambria" w:hAnsi="Cambria" w:cs="Cambria" w:eastAsia="Cambria"/>
          <w:sz w:val="22"/>
        </w:rPr>
        <w:t xml:space="preserve">, el Responsable Principal supervisa los acuerdos e informa cada año. Unas </w:t>
      </w:r>
      <w:r>
        <w:rPr>
          <w:rFonts w:ascii="Cambria" w:hAnsi="Cambria" w:cs="Cambria" w:eastAsia="Cambria"/>
          <w:b/>
          <w:sz w:val="22"/>
        </w:rPr>
        <w:t>140 barreras</w:t>
      </w:r>
      <w:r>
        <w:rPr>
          <w:rFonts w:ascii="Cambria" w:hAnsi="Cambria" w:cs="Cambria" w:eastAsia="Cambria"/>
          <w:sz w:val="22"/>
        </w:rPr>
        <w:t xml:space="preserve"> resueltas total o parcialmente en cinco años antes de 2024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Denuncias de empresas españolas: ante la Comisión o vía Secretaría de Estado de Comercio. Contenido: barrera, producto, norma vulnerada, gestiones, contacto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Obstáculos técnicos: uno de los principales problemas. Contexto de tensiones y regulación de sostenibilidad, descarbonización y tecnologías digitales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Transparencia</w:t>
      </w:r>
      <w:r>
        <w:rPr>
          <w:rFonts w:ascii="Cambria" w:hAnsi="Cambria" w:cs="Cambria" w:eastAsia="Cambria"/>
          <w:sz w:val="22"/>
        </w:rPr>
        <w:t xml:space="preserve"> para anticiparse: </w:t>
      </w:r>
      <w:r>
        <w:rPr>
          <w:rFonts w:ascii="Cambria" w:hAnsi="Cambria" w:cs="Cambria" w:eastAsia="Cambria"/>
          <w:b/>
          <w:sz w:val="22"/>
        </w:rPr>
        <w:t>ePing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2016</w:t>
      </w:r>
      <w:r>
        <w:rPr>
          <w:rFonts w:ascii="Cambria" w:hAnsi="Cambria" w:cs="Cambria" w:eastAsia="Cambria"/>
          <w:sz w:val="22"/>
        </w:rPr>
        <w:t xml:space="preserve">, creado por OMC, DESA de la ONU y ITC), alertas OTC y MSF, junto con </w:t>
      </w:r>
      <w:r>
        <w:rPr>
          <w:rFonts w:ascii="Cambria" w:hAnsi="Cambria" w:cs="Cambria" w:eastAsia="Cambria"/>
          <w:b/>
          <w:sz w:val="22"/>
        </w:rPr>
        <w:t>TBT IMS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Resultados desiguales de los instrumentos: reforzar estrategias nacionales para pymes (información, formación, asistencia técnica)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: servicio de información OTC y autoridad de control en frontera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27 – Obstáculos comerciales: Identificación y caracterización.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27 – Obstáculos comerciales: Identificación y caracterización.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