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Reducción arancelaria desde el </w:t>
      </w:r>
      <w:r>
        <w:rPr>
          <w:rFonts w:ascii="Cambria" w:hAnsi="Cambria" w:cs="Cambria" w:eastAsia="Cambria"/>
          <w:b/>
          <w:sz w:val="22"/>
        </w:rPr>
        <w:t>GATT 1947</w:t>
      </w:r>
      <w:r>
        <w:rPr>
          <w:rFonts w:ascii="Cambria" w:hAnsi="Cambria" w:cs="Cambria" w:eastAsia="Cambria"/>
          <w:sz w:val="22"/>
        </w:rPr>
        <w:t>: ganan peso las demás barreras y las medidas restrictivas alternativas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Creciente intervencionismo administrativo: regulación de productos por salud, seguridad, consumidores y medio ambiente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Resultado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Diversidad y disparidad</w:t>
      </w:r>
      <w:r>
        <w:rPr>
          <w:rFonts w:ascii="Cambria" w:hAnsi="Cambria" w:cs="Cambria" w:eastAsia="Cambria"/>
          <w:sz w:val="22"/>
        </w:rPr>
        <w:t xml:space="preserve"> de exigencias: sin economías de escala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Opacidad normativa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Abuso normativo</w:t>
      </w:r>
      <w:r>
        <w:rPr>
          <w:rFonts w:ascii="Cambria" w:hAnsi="Cambria" w:cs="Cambria" w:eastAsia="Cambria"/>
          <w:sz w:val="22"/>
        </w:rPr>
        <w:t>: exigencias desproporcionadas, restricciones encubiertas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Respuestas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OMC: Acuerdos </w:t>
      </w:r>
      <w:r>
        <w:rPr>
          <w:rFonts w:ascii="Cambria" w:hAnsi="Cambria" w:cs="Cambria" w:eastAsia="Cambria"/>
          <w:b/>
          <w:sz w:val="22"/>
        </w:rPr>
        <w:t>OTC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MSF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UE: </w:t>
      </w:r>
      <w:r>
        <w:rPr>
          <w:rFonts w:ascii="Cambria" w:hAnsi="Cambria" w:cs="Cambria" w:eastAsia="Cambria"/>
          <w:b/>
          <w:sz w:val="22"/>
        </w:rPr>
        <w:t>Directiva (UE) 2015/1535</w:t>
      </w:r>
      <w:r>
        <w:rPr>
          <w:rFonts w:ascii="Cambria" w:hAnsi="Cambria" w:cs="Cambria" w:eastAsia="Cambria"/>
          <w:sz w:val="22"/>
        </w:rPr>
        <w:t>, heredera de la Directiva 83/189/CEE y la 98/34/CE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MEDIDAS DE ARMONIZACIÓN Y TRANSPARENCIA EN LA UNIÓN EUROPEA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La libre circulación de mercancías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Piedra angular del mercado interior. Exige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Supresión de derechos de aduana y exacciones de efecto equivalente (art. </w:t>
      </w:r>
      <w:r>
        <w:rPr>
          <w:rFonts w:ascii="Cambria" w:hAnsi="Cambria" w:cs="Cambria" w:eastAsia="Cambria"/>
          <w:b/>
          <w:sz w:val="22"/>
        </w:rPr>
        <w:t>30 TFUE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Arancel aduanero común (art. </w:t>
      </w:r>
      <w:r>
        <w:rPr>
          <w:rFonts w:ascii="Cambria" w:hAnsi="Cambria" w:cs="Cambria" w:eastAsia="Cambria"/>
          <w:b/>
          <w:sz w:val="22"/>
        </w:rPr>
        <w:t>31 TFUE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Prohibición de restricciones cuantitativas y medidas de efecto equivalente (arts. </w:t>
      </w:r>
      <w:r>
        <w:rPr>
          <w:rFonts w:ascii="Cambria" w:hAnsi="Cambria" w:cs="Cambria" w:eastAsia="Cambria"/>
          <w:b/>
          <w:sz w:val="22"/>
        </w:rPr>
        <w:t>34 y 35 TFUE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36 TFUE</w:t>
      </w:r>
      <w:r>
        <w:rPr>
          <w:rFonts w:ascii="Cambria" w:hAnsi="Cambria" w:cs="Cambria" w:eastAsia="Cambria"/>
          <w:sz w:val="22"/>
        </w:rPr>
        <w:t>: excepciones (moralidad, orden y seguridad públicos, salud, patrimonio, propiedad industrial y comercial)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discriminación arbitraria ni restricción encubierta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Jurisprudencia: </w:t>
      </w:r>
      <w:r>
        <w:rPr>
          <w:rFonts w:ascii="Cambria" w:hAnsi="Cambria" w:cs="Cambria" w:eastAsia="Cambria"/>
          <w:b/>
          <w:sz w:val="22"/>
        </w:rPr>
        <w:t>exigencias imperativas de interés general</w:t>
      </w:r>
      <w:r>
        <w:rPr>
          <w:rFonts w:ascii="Cambria" w:hAnsi="Cambria" w:cs="Cambria" w:eastAsia="Cambria"/>
          <w:sz w:val="22"/>
        </w:rPr>
        <w:t xml:space="preserve"> (consumidores, medio ambiente)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Dassonville (1974)</w:t>
      </w:r>
      <w:r>
        <w:rPr>
          <w:rFonts w:ascii="Cambria" w:hAnsi="Cambria" w:cs="Cambria" w:eastAsia="Cambria"/>
          <w:sz w:val="22"/>
        </w:rPr>
        <w:t>: medida de efecto equivalente es toda normativa que pueda obstaculizar directa o indirectamente, actual o potencialmente, el comercio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El Libro Blanco de 1985 y el Nuevo Enfoque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Consejo Europeo de Milán 1985</w:t>
      </w:r>
      <w:r>
        <w:rPr>
          <w:rFonts w:ascii="Cambria" w:hAnsi="Cambria" w:cs="Cambria" w:eastAsia="Cambria"/>
          <w:sz w:val="22"/>
        </w:rPr>
        <w:t xml:space="preserve"> respalda el Libro Blanco: unas </w:t>
      </w:r>
      <w:r>
        <w:rPr>
          <w:rFonts w:ascii="Cambria" w:hAnsi="Cambria" w:cs="Cambria" w:eastAsia="Cambria"/>
          <w:b/>
          <w:sz w:val="22"/>
        </w:rPr>
        <w:t>300 medidas</w:t>
      </w:r>
      <w:r>
        <w:rPr>
          <w:rFonts w:ascii="Cambria" w:hAnsi="Cambria" w:cs="Cambria" w:eastAsia="Cambria"/>
          <w:sz w:val="22"/>
        </w:rPr>
        <w:t xml:space="preserve"> antes de finales de </w:t>
      </w:r>
      <w:r>
        <w:rPr>
          <w:rFonts w:ascii="Cambria" w:hAnsi="Cambria" w:cs="Cambria" w:eastAsia="Cambria"/>
          <w:b/>
          <w:sz w:val="22"/>
        </w:rPr>
        <w:t>1992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Tres barreras: </w:t>
      </w:r>
      <w:r>
        <w:rPr>
          <w:rFonts w:ascii="Cambria" w:hAnsi="Cambria" w:cs="Cambria" w:eastAsia="Cambria"/>
          <w:b/>
          <w:sz w:val="22"/>
        </w:rPr>
        <w:t>físicas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fiscales</w:t>
      </w:r>
      <w:r>
        <w:rPr>
          <w:rFonts w:ascii="Cambria" w:hAnsi="Cambria" w:cs="Cambria" w:eastAsia="Cambria"/>
          <w:sz w:val="22"/>
        </w:rPr>
        <w:t xml:space="preserve"> (IVA e impuestos especiales) y </w:t>
      </w:r>
      <w:r>
        <w:rPr>
          <w:rFonts w:ascii="Cambria" w:hAnsi="Cambria" w:cs="Cambria" w:eastAsia="Cambria"/>
          <w:b/>
          <w:sz w:val="22"/>
        </w:rPr>
        <w:t>técnicas</w:t>
      </w:r>
      <w:r>
        <w:rPr>
          <w:rFonts w:ascii="Cambria" w:hAnsi="Cambria" w:cs="Cambria" w:eastAsia="Cambria"/>
          <w:sz w:val="22"/>
        </w:rPr>
        <w:t xml:space="preserve"> (reglamentaciones, normas, certificación y homologación)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Estrategia en tres pilares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Nuevo Enfoque</w:t>
      </w:r>
      <w:r>
        <w:rPr>
          <w:rFonts w:ascii="Cambria" w:hAnsi="Cambria" w:cs="Cambria" w:eastAsia="Cambria"/>
          <w:sz w:val="22"/>
        </w:rPr>
        <w:t xml:space="preserve"> (Resolución del Consejo de 7 de mayo de 1985)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Directivas fijan solo </w:t>
      </w:r>
      <w:r>
        <w:rPr>
          <w:rFonts w:ascii="Cambria" w:hAnsi="Cambria" w:cs="Cambria" w:eastAsia="Cambria"/>
          <w:b/>
          <w:sz w:val="22"/>
        </w:rPr>
        <w:t>requisitos esenciales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Detalle en </w:t>
      </w:r>
      <w:r>
        <w:rPr>
          <w:rFonts w:ascii="Cambria" w:hAnsi="Cambria" w:cs="Cambria" w:eastAsia="Cambria"/>
          <w:b/>
          <w:sz w:val="22"/>
        </w:rPr>
        <w:t>normas armonizadas</w:t>
      </w:r>
      <w:r>
        <w:rPr>
          <w:rFonts w:ascii="Cambria" w:hAnsi="Cambria" w:cs="Cambria" w:eastAsia="Cambria"/>
          <w:sz w:val="22"/>
        </w:rPr>
        <w:t xml:space="preserve"> de </w:t>
      </w:r>
      <w:r>
        <w:rPr>
          <w:rFonts w:ascii="Cambria" w:hAnsi="Cambria" w:cs="Cambria" w:eastAsia="Cambria"/>
          <w:b/>
          <w:sz w:val="22"/>
        </w:rPr>
        <w:t>CEN, CENELEC y ETSI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Voluntarias, pero con referencia en el DOUE dan </w:t>
      </w:r>
      <w:r>
        <w:rPr>
          <w:rFonts w:ascii="Cambria" w:hAnsi="Cambria" w:cs="Cambria" w:eastAsia="Cambria"/>
          <w:b/>
          <w:sz w:val="22"/>
        </w:rPr>
        <w:t>presunción de conformidad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Completado por </w:t>
      </w:r>
      <w:r>
        <w:rPr>
          <w:rFonts w:ascii="Cambria" w:hAnsi="Cambria" w:cs="Cambria" w:eastAsia="Cambria"/>
          <w:b/>
          <w:sz w:val="22"/>
        </w:rPr>
        <w:t>Enfoque Global</w:t>
      </w:r>
      <w:r>
        <w:rPr>
          <w:rFonts w:ascii="Cambria" w:hAnsi="Cambria" w:cs="Cambria" w:eastAsia="Cambria"/>
          <w:sz w:val="22"/>
        </w:rPr>
        <w:t xml:space="preserve"> (1989) y </w:t>
      </w:r>
      <w:r>
        <w:rPr>
          <w:rFonts w:ascii="Cambria" w:hAnsi="Cambria" w:cs="Cambria" w:eastAsia="Cambria"/>
          <w:b/>
          <w:sz w:val="22"/>
        </w:rPr>
        <w:t>Nuevo Marco Legislativo</w:t>
      </w:r>
      <w:r>
        <w:rPr>
          <w:rFonts w:ascii="Cambria" w:hAnsi="Cambria" w:cs="Cambria" w:eastAsia="Cambria"/>
          <w:sz w:val="22"/>
        </w:rPr>
        <w:t xml:space="preserve"> (2008: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Vigilancia del mercado: </w:t>
      </w: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 xml:space="preserve">, art. 25 obliga a designar autoridades de control. En España, entre ellas el </w:t>
      </w:r>
      <w:r>
        <w:rPr>
          <w:rFonts w:ascii="Cambria" w:hAnsi="Cambria" w:cs="Cambria" w:eastAsia="Cambria"/>
          <w:b/>
          <w:sz w:val="22"/>
        </w:rPr>
        <w:t>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Acta Única Europea 1986</w:t>
      </w:r>
      <w:r>
        <w:rPr>
          <w:rFonts w:ascii="Cambria" w:hAnsi="Cambria" w:cs="Cambria" w:eastAsia="Cambria"/>
          <w:sz w:val="22"/>
        </w:rPr>
        <w:t xml:space="preserve">: mayoría cualificada para aproximar legislaciones (art. </w:t>
      </w:r>
      <w:r>
        <w:rPr>
          <w:rFonts w:ascii="Cambria" w:hAnsi="Cambria" w:cs="Cambria" w:eastAsia="Cambria"/>
          <w:b/>
          <w:sz w:val="22"/>
        </w:rPr>
        <w:t>114 TFUE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Excepciones: fiscalidad, libre circulación de personas, derechos de los trabajadores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Reconocimiento mutuo</w:t>
      </w:r>
      <w:r>
        <w:rPr>
          <w:rFonts w:ascii="Cambria" w:hAnsi="Cambria" w:cs="Cambria" w:eastAsia="Cambria"/>
          <w:sz w:val="22"/>
        </w:rPr>
        <w:t xml:space="preserve"> y procedimiento de información de la </w:t>
      </w:r>
      <w:r>
        <w:rPr>
          <w:rFonts w:ascii="Cambria" w:hAnsi="Cambria" w:cs="Cambria" w:eastAsia="Cambria"/>
          <w:b/>
          <w:sz w:val="22"/>
        </w:rPr>
        <w:t>Directiva 83/189/CEE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El reconocimiento mutuo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Cassis de Dijon</w:t>
      </w:r>
      <w:r>
        <w:rPr>
          <w:rFonts w:ascii="Cambria" w:hAnsi="Cambria" w:cs="Cambria" w:eastAsia="Cambria"/>
          <w:sz w:val="22"/>
        </w:rPr>
        <w:t xml:space="preserve"> (20 de febrero de 1979, asunto 120/78): producto legalmente comercializado en un Estado miembro puede comercializarse en los demás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Restricción solo con exigencia imperativa o art. 36 TFUE, y proporcionada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aplica en ámbitos </w:t>
      </w:r>
      <w:r>
        <w:rPr>
          <w:rFonts w:ascii="Cambria" w:hAnsi="Cambria" w:cs="Cambria" w:eastAsia="Cambria"/>
          <w:b/>
          <w:sz w:val="22"/>
        </w:rPr>
        <w:t>no armonizados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 xml:space="preserve"> (desde abril de 2020)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Declaración de reconocimiento mutuo</w:t>
      </w:r>
      <w:r>
        <w:rPr>
          <w:rFonts w:ascii="Cambria" w:hAnsi="Cambria" w:cs="Cambria" w:eastAsia="Cambria"/>
          <w:sz w:val="22"/>
        </w:rPr>
        <w:t xml:space="preserve"> del operador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Decisiones restrictivas </w:t>
      </w:r>
      <w:r>
        <w:rPr>
          <w:rFonts w:ascii="Cambria" w:hAnsi="Cambria" w:cs="Cambria" w:eastAsia="Cambria"/>
          <w:b/>
          <w:sz w:val="22"/>
        </w:rPr>
        <w:t>motivadas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Recurso a </w:t>
      </w:r>
      <w:r>
        <w:rPr>
          <w:rFonts w:ascii="Cambria" w:hAnsi="Cambria" w:cs="Cambria" w:eastAsia="Cambria"/>
          <w:b/>
          <w:sz w:val="22"/>
        </w:rPr>
        <w:t>SOLVIT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Puntos de Contacto de Productos</w:t>
      </w:r>
      <w:r>
        <w:rPr>
          <w:rFonts w:ascii="Cambria" w:hAnsi="Cambria" w:cs="Cambria" w:eastAsia="Cambria"/>
          <w:sz w:val="22"/>
        </w:rPr>
        <w:t>: informan a las empresas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LA DIRECTIVA (UE) 2015/1535 Y SUS ANTECEDENTES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Evolución normativa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83/189/CEE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información previa</w:t>
      </w:r>
      <w:r>
        <w:rPr>
          <w:rFonts w:ascii="Cambria" w:hAnsi="Cambria" w:cs="Cambria" w:eastAsia="Cambria"/>
          <w:sz w:val="22"/>
        </w:rPr>
        <w:t xml:space="preserve"> de proyectos de normas y reglamentos técnicos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 permanente</w:t>
      </w:r>
      <w:r>
        <w:rPr>
          <w:rFonts w:ascii="Cambria" w:hAnsi="Cambria" w:cs="Cambria" w:eastAsia="Cambria"/>
          <w:sz w:val="22"/>
        </w:rPr>
        <w:t xml:space="preserve"> presidido por la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</w:t>
      </w:r>
      <w:r>
        <w:rPr>
          <w:rFonts w:ascii="Cambria" w:hAnsi="Cambria" w:cs="Cambria" w:eastAsia="Cambria"/>
          <w:sz w:val="22"/>
        </w:rPr>
        <w:t xml:space="preserve"> (voluntarias) frente a </w:t>
      </w:r>
      <w:r>
        <w:rPr>
          <w:rFonts w:ascii="Cambria" w:hAnsi="Cambria" w:cs="Cambria" w:eastAsia="Cambria"/>
          <w:b/>
          <w:sz w:val="22"/>
        </w:rPr>
        <w:t>reglamentos técnicos</w:t>
      </w:r>
      <w:r>
        <w:rPr>
          <w:rFonts w:ascii="Cambria" w:hAnsi="Cambria" w:cs="Cambria" w:eastAsia="Cambria"/>
          <w:sz w:val="22"/>
        </w:rPr>
        <w:t xml:space="preserve"> (obligatorios)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Directivas 88/182/CEE y 94/10/CE</w:t>
      </w:r>
      <w:r>
        <w:rPr>
          <w:rFonts w:ascii="Cambria" w:hAnsi="Cambria" w:cs="Cambria" w:eastAsia="Cambria"/>
          <w:sz w:val="22"/>
        </w:rPr>
        <w:t>: amplían especificación técnica, evaluación de la conformidad y «otros requisitos»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98/34/CE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refundición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Concepto amplio de reglamento técnico, incluidos los </w:t>
      </w:r>
      <w:r>
        <w:rPr>
          <w:rFonts w:ascii="Cambria" w:hAnsi="Cambria" w:cs="Cambria" w:eastAsia="Cambria"/>
          <w:b/>
          <w:sz w:val="22"/>
        </w:rPr>
        <w:t>de facto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Doble procedimiento</w:t>
      </w:r>
      <w:r>
        <w:rPr>
          <w:rFonts w:ascii="Cambria" w:hAnsi="Cambria" w:cs="Cambria" w:eastAsia="Cambria"/>
          <w:sz w:val="22"/>
        </w:rPr>
        <w:t>: programas de normalización y notificación con statu quo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98/48/CE</w:t>
      </w:r>
      <w:r>
        <w:rPr>
          <w:rFonts w:ascii="Cambria" w:hAnsi="Cambria" w:cs="Cambria" w:eastAsia="Cambria"/>
          <w:sz w:val="22"/>
        </w:rPr>
        <w:t xml:space="preserve">: extensión a </w:t>
      </w:r>
      <w:r>
        <w:rPr>
          <w:rFonts w:ascii="Cambria" w:hAnsi="Cambria" w:cs="Cambria" w:eastAsia="Cambria"/>
          <w:b/>
          <w:sz w:val="22"/>
        </w:rPr>
        <w:t>servicios de la sociedad de la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1025/2012</w:t>
      </w:r>
      <w:r>
        <w:rPr>
          <w:rFonts w:ascii="Cambria" w:hAnsi="Cambria" w:cs="Cambria" w:eastAsia="Cambria"/>
          <w:sz w:val="22"/>
        </w:rPr>
        <w:t>: normas voluntarias. Por eso la Directiva se centra en reglamentos técnicos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(UE) 2015/1535</w:t>
      </w:r>
      <w:r>
        <w:rPr>
          <w:rFonts w:ascii="Cambria" w:hAnsi="Cambria" w:cs="Cambria" w:eastAsia="Cambria"/>
          <w:sz w:val="22"/>
        </w:rPr>
        <w:t xml:space="preserve"> (9 de septiembre de 2015): codifica la 98/34/CE sin cambios sustanciales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Objetivo y ámbito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Examen previo por la Comisión y los Estados de los </w:t>
      </w:r>
      <w:r>
        <w:rPr>
          <w:rFonts w:ascii="Cambria" w:hAnsi="Cambria" w:cs="Cambria" w:eastAsia="Cambria"/>
          <w:b/>
          <w:sz w:val="22"/>
        </w:rPr>
        <w:t>reglamentos técnicos</w:t>
      </w:r>
      <w:r>
        <w:rPr>
          <w:rFonts w:ascii="Cambria" w:hAnsi="Cambria" w:cs="Cambria" w:eastAsia="Cambria"/>
          <w:sz w:val="22"/>
        </w:rPr>
        <w:t xml:space="preserve"> proyectados, para productos (industriales, agrícolas, pesqueros) y servicios de la sociedad de la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AELC/EEE</w:t>
      </w:r>
      <w:r>
        <w:rPr>
          <w:rFonts w:ascii="Cambria" w:hAnsi="Cambria" w:cs="Cambria" w:eastAsia="Cambria"/>
          <w:sz w:val="22"/>
        </w:rPr>
        <w:t xml:space="preserve">: procedimiento paralelo. </w:t>
      </w:r>
      <w:r>
        <w:rPr>
          <w:rFonts w:ascii="Cambria" w:hAnsi="Cambria" w:cs="Cambria" w:eastAsia="Cambria"/>
          <w:b/>
          <w:sz w:val="22"/>
        </w:rPr>
        <w:t>Suiza y Turquía</w:t>
      </w:r>
      <w:r>
        <w:rPr>
          <w:rFonts w:ascii="Cambria" w:hAnsi="Cambria" w:cs="Cambria" w:eastAsia="Cambria"/>
          <w:sz w:val="22"/>
        </w:rPr>
        <w:t>: intercambio de información con otro estatuto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Reglamento técnico: especificaciones técnicas, «otros requisitos» y reglas de servicios obligatorias, </w:t>
      </w:r>
      <w:r>
        <w:rPr>
          <w:rFonts w:ascii="Cambria" w:hAnsi="Cambria" w:cs="Cambria" w:eastAsia="Cambria"/>
          <w:b/>
          <w:sz w:val="22"/>
        </w:rPr>
        <w:t>de iure o de facto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7</w:t>
      </w:r>
      <w:r>
        <w:rPr>
          <w:rFonts w:ascii="Cambria" w:hAnsi="Cambria" w:cs="Cambria" w:eastAsia="Cambria"/>
          <w:sz w:val="22"/>
        </w:rPr>
        <w:t>: exime las normas que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transponen actos vinculantes de la Unión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cumplen acuerdos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aplican cláusulas de salvaguardia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ejecutan una sentencia del Tribunal de Justicia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El procedimiento de notificación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Notificación</w:t>
      </w:r>
      <w:r>
        <w:rPr>
          <w:rFonts w:ascii="Cambria" w:hAnsi="Cambria" w:cs="Cambria" w:eastAsia="Cambria"/>
          <w:sz w:val="22"/>
        </w:rPr>
        <w:t xml:space="preserve"> a la Comisión, traslado a los Estados y publicación traducida en </w:t>
      </w:r>
      <w:r>
        <w:rPr>
          <w:rFonts w:ascii="Cambria" w:hAnsi="Cambria" w:cs="Cambria" w:eastAsia="Cambria"/>
          <w:b/>
          <w:sz w:val="22"/>
        </w:rPr>
        <w:t>TRIS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Statu quo de 3 meses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Observaciones</w:t>
      </w:r>
      <w:r>
        <w:rPr>
          <w:rFonts w:ascii="Cambria" w:hAnsi="Cambria" w:cs="Cambria" w:eastAsia="Cambria"/>
          <w:sz w:val="22"/>
        </w:rPr>
        <w:t>: no amplían plazo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Dictamen circunstanciado</w:t>
      </w:r>
      <w:r>
        <w:rPr>
          <w:rFonts w:ascii="Cambria" w:hAnsi="Cambria" w:cs="Cambria" w:eastAsia="Cambria"/>
          <w:sz w:val="22"/>
        </w:rPr>
        <w:t xml:space="preserve">: hasta </w:t>
      </w:r>
      <w:r>
        <w:rPr>
          <w:rFonts w:ascii="Cambria" w:hAnsi="Cambria" w:cs="Cambria" w:eastAsia="Cambria"/>
          <w:b/>
          <w:sz w:val="22"/>
        </w:rPr>
        <w:t>4 meses</w:t>
      </w:r>
      <w:r>
        <w:rPr>
          <w:rFonts w:ascii="Cambria" w:hAnsi="Cambria" w:cs="Cambria" w:eastAsia="Cambria"/>
          <w:sz w:val="22"/>
        </w:rPr>
        <w:t xml:space="preserve"> (acuerdos voluntarios y servicios) o </w:t>
      </w:r>
      <w:r>
        <w:rPr>
          <w:rFonts w:ascii="Cambria" w:hAnsi="Cambria" w:cs="Cambria" w:eastAsia="Cambria"/>
          <w:b/>
          <w:sz w:val="22"/>
        </w:rPr>
        <w:t>6 meses</w:t>
      </w:r>
      <w:r>
        <w:rPr>
          <w:rFonts w:ascii="Cambria" w:hAnsi="Cambria" w:cs="Cambria" w:eastAsia="Cambria"/>
          <w:sz w:val="22"/>
        </w:rPr>
        <w:t xml:space="preserve"> (demás)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es el dictamen motivado de infracción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Bloqueo por armonización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12 meses</w:t>
      </w:r>
      <w:r>
        <w:rPr>
          <w:rFonts w:ascii="Cambria" w:hAnsi="Cambria" w:cs="Cambria" w:eastAsia="Cambria"/>
          <w:sz w:val="22"/>
        </w:rPr>
        <w:t xml:space="preserve">, hasta </w:t>
      </w:r>
      <w:r>
        <w:rPr>
          <w:rFonts w:ascii="Cambria" w:hAnsi="Cambria" w:cs="Cambria" w:eastAsia="Cambria"/>
          <w:b/>
          <w:sz w:val="22"/>
        </w:rPr>
        <w:t>18</w:t>
      </w:r>
      <w:r>
        <w:rPr>
          <w:rFonts w:ascii="Cambria" w:hAnsi="Cambria" w:cs="Cambria" w:eastAsia="Cambria"/>
          <w:sz w:val="22"/>
        </w:rPr>
        <w:t xml:space="preserve"> si el Consejo adopta posición en primera lectura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Nueva notificación</w:t>
      </w:r>
      <w:r>
        <w:rPr>
          <w:rFonts w:ascii="Cambria" w:hAnsi="Cambria" w:cs="Cambria" w:eastAsia="Cambria"/>
          <w:sz w:val="22"/>
        </w:rPr>
        <w:t xml:space="preserve"> si hay cambios sustanciales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Urgencia</w:t>
      </w:r>
      <w:r>
        <w:rPr>
          <w:rFonts w:ascii="Cambria" w:hAnsi="Cambria" w:cs="Cambria" w:eastAsia="Cambria"/>
          <w:sz w:val="22"/>
        </w:rPr>
        <w:t>: sin statu quo ante circunstancias graves e imprevisibles. No exime de notificar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Comunicación del </w:t>
      </w:r>
      <w:r>
        <w:rPr>
          <w:rFonts w:ascii="Cambria" w:hAnsi="Cambria" w:cs="Cambria" w:eastAsia="Cambria"/>
          <w:b/>
          <w:sz w:val="22"/>
        </w:rPr>
        <w:t>texto definitivo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Ventajas y aplicación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Ventajas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Prevención</w:t>
      </w:r>
      <w:r>
        <w:rPr>
          <w:rFonts w:ascii="Cambria" w:hAnsi="Cambria" w:cs="Cambria" w:eastAsia="Cambria"/>
          <w:sz w:val="22"/>
        </w:rPr>
        <w:t>: más barata que una infracción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Transparencia</w:t>
      </w:r>
      <w:r>
        <w:rPr>
          <w:rFonts w:ascii="Cambria" w:hAnsi="Cambria" w:cs="Cambria" w:eastAsia="Cambria"/>
          <w:sz w:val="22"/>
        </w:rPr>
        <w:t xml:space="preserve"> (TRIS gratuito) y </w:t>
      </w:r>
      <w:r>
        <w:rPr>
          <w:rFonts w:ascii="Cambria" w:hAnsi="Cambria" w:cs="Cambria" w:eastAsia="Cambria"/>
          <w:b/>
          <w:sz w:val="22"/>
        </w:rPr>
        <w:t>diálogo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Detección de necesidades de armonización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Seguridad</w:t>
      </w:r>
      <w:r>
        <w:rPr>
          <w:rFonts w:ascii="Cambria" w:hAnsi="Cambria" w:cs="Cambria" w:eastAsia="Cambria"/>
          <w:sz w:val="22"/>
        </w:rPr>
        <w:t xml:space="preserve"> para operadores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reglamento no notificado o adoptado durante el statu quo </w:t>
      </w:r>
      <w:r>
        <w:rPr>
          <w:rFonts w:ascii="Cambria" w:hAnsi="Cambria" w:cs="Cambria" w:eastAsia="Cambria"/>
          <w:b/>
          <w:sz w:val="22"/>
        </w:rPr>
        <w:t>no es oponible a particulares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Real Decreto 1337/1999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Vía </w:t>
      </w:r>
      <w:r>
        <w:rPr>
          <w:rFonts w:ascii="Cambria" w:hAnsi="Cambria" w:cs="Cambria" w:eastAsia="Cambria"/>
          <w:b/>
          <w:sz w:val="22"/>
        </w:rPr>
        <w:t>Comisión Interministerial para Asuntos de la Unión Europea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Alimentación: grupo de trabajo de la </w:t>
      </w:r>
      <w:r>
        <w:rPr>
          <w:rFonts w:ascii="Cambria" w:hAnsi="Cambria" w:cs="Cambria" w:eastAsia="Cambria"/>
          <w:b/>
          <w:sz w:val="22"/>
        </w:rPr>
        <w:t>CIOA</w:t>
      </w:r>
      <w:r>
        <w:rPr>
          <w:rFonts w:ascii="Cambria" w:hAnsi="Cambria" w:cs="Cambria" w:eastAsia="Cambria"/>
          <w:sz w:val="22"/>
        </w:rPr>
        <w:t xml:space="preserve">, con la </w:t>
      </w:r>
      <w:r>
        <w:rPr>
          <w:rFonts w:ascii="Cambria" w:hAnsi="Cambria" w:cs="Cambria" w:eastAsia="Cambria"/>
          <w:b/>
          <w:sz w:val="22"/>
        </w:rPr>
        <w:t>Subdirección General de Inspección, Certificación y Asistencia Técnica del Comercio Exterior (SOIVRE)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PROCEDIMIENTOS PARA LA RESOLUCIÓN DE OBSTÁCULOS EN EL MERCADO INTERIOR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Persisten barreras en ámbitos no armonizados y servicios (</w:t>
      </w:r>
      <w:r>
        <w:rPr>
          <w:rFonts w:ascii="Cambria" w:hAnsi="Cambria" w:cs="Cambria" w:eastAsia="Cambria"/>
          <w:b/>
          <w:sz w:val="22"/>
        </w:rPr>
        <w:t>Directiva 2006/123/CE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El procedimiento de infracción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Comisión, guardiana de los Tratados. Arts. </w:t>
      </w:r>
      <w:r>
        <w:rPr>
          <w:rFonts w:ascii="Cambria" w:hAnsi="Cambria" w:cs="Cambria" w:eastAsia="Cambria"/>
          <w:b/>
          <w:sz w:val="22"/>
        </w:rPr>
        <w:t>258 a 260 TFUE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259</w:t>
      </w:r>
      <w:r>
        <w:rPr>
          <w:rFonts w:ascii="Cambria" w:hAnsi="Cambria" w:cs="Cambria" w:eastAsia="Cambria"/>
          <w:sz w:val="22"/>
        </w:rPr>
        <w:t>: un Estado puede recurrir contra otro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Inicio</w:t>
      </w:r>
      <w:r>
        <w:rPr>
          <w:rFonts w:ascii="Cambria" w:hAnsi="Cambria" w:cs="Cambria" w:eastAsia="Cambria"/>
          <w:sz w:val="22"/>
        </w:rPr>
        <w:t xml:space="preserve">: de oficio o por </w:t>
      </w:r>
      <w:r>
        <w:rPr>
          <w:rFonts w:ascii="Cambria" w:hAnsi="Cambria" w:cs="Cambria" w:eastAsia="Cambria"/>
          <w:b/>
          <w:sz w:val="22"/>
        </w:rPr>
        <w:t>denuncia</w:t>
      </w:r>
      <w:r>
        <w:rPr>
          <w:rFonts w:ascii="Cambria" w:hAnsi="Cambria" w:cs="Cambria" w:eastAsia="Cambria"/>
          <w:sz w:val="22"/>
        </w:rPr>
        <w:t xml:space="preserve"> (decisión en </w:t>
      </w:r>
      <w:r>
        <w:rPr>
          <w:rFonts w:ascii="Cambria" w:hAnsi="Cambria" w:cs="Cambria" w:eastAsia="Cambria"/>
          <w:b/>
          <w:sz w:val="22"/>
        </w:rPr>
        <w:t>un año</w:t>
      </w:r>
      <w:r>
        <w:rPr>
          <w:rFonts w:ascii="Cambria" w:hAnsi="Cambria" w:cs="Cambria" w:eastAsia="Cambria"/>
          <w:sz w:val="22"/>
        </w:rPr>
        <w:t>, sin obligación de actuar)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 precontenciosa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EU Pilot</w:t>
      </w:r>
      <w:r>
        <w:rPr>
          <w:rFonts w:ascii="Cambria" w:hAnsi="Cambria" w:cs="Cambria" w:eastAsia="Cambria"/>
          <w:sz w:val="22"/>
        </w:rPr>
        <w:t xml:space="preserve"> informal previo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Carta de emplazamiento</w:t>
      </w:r>
      <w:r>
        <w:rPr>
          <w:rFonts w:ascii="Cambria" w:hAnsi="Cambria" w:cs="Cambria" w:eastAsia="Cambria"/>
          <w:sz w:val="22"/>
        </w:rPr>
        <w:t xml:space="preserve">: observaciones, normalmente en </w:t>
      </w:r>
      <w:r>
        <w:rPr>
          <w:rFonts w:ascii="Cambria" w:hAnsi="Cambria" w:cs="Cambria" w:eastAsia="Cambria"/>
          <w:b/>
          <w:sz w:val="22"/>
        </w:rPr>
        <w:t>dos meses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Dictamen motivado</w:t>
      </w:r>
      <w:r>
        <w:rPr>
          <w:rFonts w:ascii="Cambria" w:hAnsi="Cambria" w:cs="Cambria" w:eastAsia="Cambria"/>
          <w:sz w:val="22"/>
        </w:rPr>
        <w:t>: fija plazo y objeto del litigio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 contenciosa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Recurso ante el Tribunal. Sentencia </w:t>
      </w:r>
      <w:r>
        <w:rPr>
          <w:rFonts w:ascii="Cambria" w:hAnsi="Cambria" w:cs="Cambria" w:eastAsia="Cambria"/>
          <w:b/>
          <w:sz w:val="22"/>
        </w:rPr>
        <w:t>declarativa</w:t>
      </w:r>
      <w:r>
        <w:rPr>
          <w:rFonts w:ascii="Cambria" w:hAnsi="Cambria" w:cs="Cambria" w:eastAsia="Cambria"/>
          <w:sz w:val="22"/>
        </w:rPr>
        <w:t xml:space="preserve"> (art. </w:t>
      </w:r>
      <w:r>
        <w:rPr>
          <w:rFonts w:ascii="Cambria" w:hAnsi="Cambria" w:cs="Cambria" w:eastAsia="Cambria"/>
          <w:b/>
          <w:sz w:val="22"/>
        </w:rPr>
        <w:t>260.1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260.2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suma a tanto alzado y multas coercitivas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260.3</w:t>
      </w:r>
      <w:r>
        <w:rPr>
          <w:rFonts w:ascii="Cambria" w:hAnsi="Cambria" w:cs="Cambria" w:eastAsia="Cambria"/>
          <w:sz w:val="22"/>
        </w:rPr>
        <w:t>: sanciones en el primer recurso si no se comunica la transposición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Medidas urgentes</w:t>
      </w:r>
      <w:r>
        <w:rPr>
          <w:rFonts w:ascii="Cambria" w:hAnsi="Cambria" w:cs="Cambria" w:eastAsia="Cambria"/>
          <w:sz w:val="22"/>
        </w:rPr>
        <w:t xml:space="preserve">: provisionales (art. </w:t>
      </w:r>
      <w:r>
        <w:rPr>
          <w:rFonts w:ascii="Cambria" w:hAnsi="Cambria" w:cs="Cambria" w:eastAsia="Cambria"/>
          <w:b/>
          <w:sz w:val="22"/>
        </w:rPr>
        <w:t>279 TFUE</w:t>
      </w:r>
      <w:r>
        <w:rPr>
          <w:rFonts w:ascii="Cambria" w:hAnsi="Cambria" w:cs="Cambria" w:eastAsia="Cambria"/>
          <w:sz w:val="22"/>
        </w:rPr>
        <w:t>), con apariencia de buen derecho, urgencia y ponderación favorable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 multas coercitivas: </w:t>
      </w:r>
      <w:r>
        <w:rPr>
          <w:rFonts w:ascii="Cambria" w:hAnsi="Cambria" w:cs="Cambria" w:eastAsia="Cambria"/>
          <w:b/>
          <w:sz w:val="22"/>
        </w:rPr>
        <w:t>Białowieża</w:t>
      </w:r>
      <w:r>
        <w:rPr>
          <w:rFonts w:ascii="Cambria" w:hAnsi="Cambria" w:cs="Cambria" w:eastAsia="Cambria"/>
          <w:sz w:val="22"/>
        </w:rPr>
        <w:t xml:space="preserve"> (2017)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La defensa ante los tribunales 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 infracción no indemniza: la vía nacional es complementaria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Efecto directo y primacía</w:t>
      </w:r>
      <w:r>
        <w:rPr>
          <w:rFonts w:ascii="Cambria" w:hAnsi="Cambria" w:cs="Cambria" w:eastAsia="Cambria"/>
          <w:sz w:val="22"/>
        </w:rPr>
        <w:t xml:space="preserve">: invocar el art. </w:t>
      </w:r>
      <w:r>
        <w:rPr>
          <w:rFonts w:ascii="Cambria" w:hAnsi="Cambria" w:cs="Cambria" w:eastAsia="Cambria"/>
          <w:b/>
          <w:sz w:val="22"/>
        </w:rPr>
        <w:t>34 TFUE</w:t>
      </w:r>
      <w:r>
        <w:rPr>
          <w:rFonts w:ascii="Cambria" w:hAnsi="Cambria" w:cs="Cambria" w:eastAsia="Cambria"/>
          <w:sz w:val="22"/>
        </w:rPr>
        <w:t xml:space="preserve"> y la falta de notificación (</w:t>
      </w:r>
      <w:r>
        <w:rPr>
          <w:rFonts w:ascii="Cambria" w:hAnsi="Cambria" w:cs="Cambria" w:eastAsia="Cambria"/>
          <w:b/>
          <w:sz w:val="22"/>
        </w:rPr>
        <w:t>CIA Security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Cuestión prejudicial (art. </w:t>
      </w:r>
      <w:r>
        <w:rPr>
          <w:rFonts w:ascii="Cambria" w:hAnsi="Cambria" w:cs="Cambria" w:eastAsia="Cambria"/>
          <w:b/>
          <w:sz w:val="22"/>
        </w:rPr>
        <w:t>267 TFUE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Medidas cautelares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Factortame</w:t>
      </w:r>
      <w:r>
        <w:rPr>
          <w:rFonts w:ascii="Cambria" w:hAnsi="Cambria" w:cs="Cambria" w:eastAsia="Cambria"/>
          <w:sz w:val="22"/>
        </w:rPr>
        <w:t xml:space="preserve"> (C-213/89, 1990)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Responsabilidad patrimonial del Estado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Francovich</w:t>
      </w:r>
      <w:r>
        <w:rPr>
          <w:rFonts w:ascii="Cambria" w:hAnsi="Cambria" w:cs="Cambria" w:eastAsia="Cambria"/>
          <w:sz w:val="22"/>
        </w:rPr>
        <w:t xml:space="preserve"> (1991)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Brasserie du Pêcheur y Factortame</w:t>
      </w:r>
      <w:r>
        <w:rPr>
          <w:rFonts w:ascii="Cambria" w:hAnsi="Cambria" w:cs="Cambria" w:eastAsia="Cambria"/>
          <w:sz w:val="22"/>
        </w:rPr>
        <w:t xml:space="preserve"> (1996), tres requisitos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norma que confiere derechos a particulares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violación suficientemente caracterizada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causalidad directa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Límites: </w:t>
      </w:r>
      <w:r>
        <w:rPr>
          <w:rFonts w:ascii="Cambria" w:hAnsi="Cambria" w:cs="Cambria" w:eastAsia="Cambria"/>
          <w:b/>
          <w:sz w:val="22"/>
        </w:rPr>
        <w:t>equivalencia y efectividad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Comisión contra España</w:t>
      </w:r>
      <w:r>
        <w:rPr>
          <w:rFonts w:ascii="Cambria" w:hAnsi="Cambria" w:cs="Cambria" w:eastAsia="Cambria"/>
          <w:sz w:val="22"/>
        </w:rPr>
        <w:t xml:space="preserve"> (C-278/20, 2022): requisitos de la </w:t>
      </w:r>
      <w:r>
        <w:rPr>
          <w:rFonts w:ascii="Cambria" w:hAnsi="Cambria" w:cs="Cambria" w:eastAsia="Cambria"/>
          <w:b/>
          <w:sz w:val="22"/>
        </w:rPr>
        <w:t>Ley 40/2015</w:t>
      </w:r>
      <w:r>
        <w:rPr>
          <w:rFonts w:ascii="Cambria" w:hAnsi="Cambria" w:cs="Cambria" w:eastAsia="Cambria"/>
          <w:sz w:val="22"/>
        </w:rPr>
        <w:t xml:space="preserve"> contrarios a la efectividad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La red SOLVIT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Desde </w:t>
      </w:r>
      <w:r>
        <w:rPr>
          <w:rFonts w:ascii="Cambria" w:hAnsi="Cambria" w:cs="Cambria" w:eastAsia="Cambria"/>
          <w:b/>
          <w:sz w:val="22"/>
        </w:rPr>
        <w:t>2002</w:t>
      </w:r>
      <w:r>
        <w:rPr>
          <w:rFonts w:ascii="Cambria" w:hAnsi="Cambria" w:cs="Cambria" w:eastAsia="Cambria"/>
          <w:sz w:val="22"/>
        </w:rPr>
        <w:t xml:space="preserve">: solución </w:t>
      </w:r>
      <w:r>
        <w:rPr>
          <w:rFonts w:ascii="Cambria" w:hAnsi="Cambria" w:cs="Cambria" w:eastAsia="Cambria"/>
          <w:b/>
          <w:sz w:val="22"/>
        </w:rPr>
        <w:t>gratuita, rápida y extrajudicial</w:t>
      </w:r>
      <w:r>
        <w:rPr>
          <w:rFonts w:ascii="Cambria" w:hAnsi="Cambria" w:cs="Cambria" w:eastAsia="Cambria"/>
          <w:sz w:val="22"/>
        </w:rPr>
        <w:t xml:space="preserve"> de problemas por aplicación incorrecta del Derecho de la Unión por otra administración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Fuera de tribunales. Soluciones </w:t>
      </w:r>
      <w:r>
        <w:rPr>
          <w:rFonts w:ascii="Cambria" w:hAnsi="Cambria" w:cs="Cambria" w:eastAsia="Cambria"/>
          <w:b/>
          <w:sz w:val="22"/>
        </w:rPr>
        <w:t>no vinculantes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Red: Estados miembros, Islandia, Liechtenstein y Noruega. Parte del </w:t>
      </w:r>
      <w:r>
        <w:rPr>
          <w:rFonts w:ascii="Cambria" w:hAnsi="Cambria" w:cs="Cambria" w:eastAsia="Cambria"/>
          <w:b/>
          <w:sz w:val="22"/>
        </w:rPr>
        <w:t>Portal Digital Único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Caso en línea en el centro del país del interesado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Centro del Estado del problema acepta en </w:t>
      </w:r>
      <w:r>
        <w:rPr>
          <w:rFonts w:ascii="Cambria" w:hAnsi="Cambria" w:cs="Cambria" w:eastAsia="Cambria"/>
          <w:b/>
          <w:sz w:val="22"/>
        </w:rPr>
        <w:t>una semana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Diez semanas</w:t>
      </w:r>
      <w:r>
        <w:rPr>
          <w:rFonts w:ascii="Cambria" w:hAnsi="Cambria" w:cs="Cambria" w:eastAsia="Cambria"/>
          <w:sz w:val="22"/>
        </w:rPr>
        <w:t xml:space="preserve"> para solucionar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Ministerio de Asuntos Exteriores, Unión Europea y Cooperación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Otros instrumentos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EU Pilot</w:t>
      </w:r>
      <w:r>
        <w:rPr>
          <w:rFonts w:ascii="Cambria" w:hAnsi="Cambria" w:cs="Cambria" w:eastAsia="Cambria"/>
          <w:sz w:val="22"/>
        </w:rPr>
        <w:t xml:space="preserve"> (2008): diálogo informal previo a la infracción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2679/98</w:t>
      </w:r>
      <w:r>
        <w:rPr>
          <w:rFonts w:ascii="Cambria" w:hAnsi="Cambria" w:cs="Cambria" w:eastAsia="Cambria"/>
          <w:sz w:val="22"/>
        </w:rPr>
        <w:t xml:space="preserve"> («Reglamento fresas»): obstáculos graves a la libre circulación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Modificado, no derogado, por el </w:t>
      </w:r>
      <w:r>
        <w:rPr>
          <w:rFonts w:ascii="Cambria" w:hAnsi="Cambria" w:cs="Cambria" w:eastAsia="Cambria"/>
          <w:b/>
          <w:sz w:val="22"/>
        </w:rPr>
        <w:t>Reglamento (UE) 2024/2747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IMERA</w:t>
      </w:r>
      <w:r>
        <w:rPr>
          <w:rFonts w:ascii="Cambria" w:hAnsi="Cambria" w:cs="Cambria" w:eastAsia="Cambria"/>
          <w:sz w:val="22"/>
        </w:rPr>
        <w:t xml:space="preserve">), aplicable desde el </w:t>
      </w:r>
      <w:r>
        <w:rPr>
          <w:rFonts w:ascii="Cambria" w:hAnsi="Cambria" w:cs="Cambria" w:eastAsia="Cambria"/>
          <w:b/>
          <w:sz w:val="22"/>
        </w:rPr>
        <w:t>29 de mayo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SMET</w:t>
      </w:r>
      <w:r>
        <w:rPr>
          <w:rFonts w:ascii="Cambria" w:hAnsi="Cambria" w:cs="Cambria" w:eastAsia="Cambria"/>
          <w:sz w:val="22"/>
        </w:rPr>
        <w:t xml:space="preserve"> (2020): Comisión y Estados abordan las barreras más graves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Proyecto Línea Abierta</w:t>
      </w:r>
      <w:r>
        <w:rPr>
          <w:rFonts w:ascii="Cambria" w:hAnsi="Cambria" w:cs="Cambria" w:eastAsia="Cambria"/>
          <w:sz w:val="22"/>
        </w:rPr>
        <w:t xml:space="preserve"> (1993): Secretaría de Estado de Comercio, </w:t>
      </w: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CEOE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Predominan obstáculos de normas técnicas, luego envases y etiquetado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para el Mercado Único</w:t>
      </w:r>
      <w:r>
        <w:rPr>
          <w:rFonts w:ascii="Cambria" w:hAnsi="Cambria" w:cs="Cambria" w:eastAsia="Cambria"/>
          <w:sz w:val="22"/>
        </w:rPr>
        <w:t xml:space="preserve"> (21 de mayo de 2025): </w:t>
      </w:r>
      <w:r>
        <w:rPr>
          <w:rFonts w:ascii="Cambria" w:hAnsi="Cambria" w:cs="Cambria" w:eastAsia="Cambria"/>
          <w:b/>
          <w:sz w:val="22"/>
        </w:rPr>
        <w:t>«Terrible Ten»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Refuerzo de SOLVIT y SMET, y responsable de alto nivel por Estado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posibilidades prácticas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Conocer</w:t>
      </w:r>
      <w:r>
        <w:rPr>
          <w:rFonts w:ascii="Cambria" w:hAnsi="Cambria" w:cs="Cambria" w:eastAsia="Cambria"/>
          <w:sz w:val="22"/>
        </w:rPr>
        <w:t xml:space="preserve"> las reglamentaciones (</w:t>
      </w:r>
      <w:r>
        <w:rPr>
          <w:rFonts w:ascii="Cambria" w:hAnsi="Cambria" w:cs="Cambria" w:eastAsia="Cambria"/>
          <w:b/>
          <w:sz w:val="22"/>
        </w:rPr>
        <w:t>TRIS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ePing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Anticiparse</w:t>
      </w:r>
      <w:r>
        <w:rPr>
          <w:rFonts w:ascii="Cambria" w:hAnsi="Cambria" w:cs="Cambria" w:eastAsia="Cambria"/>
          <w:sz w:val="22"/>
        </w:rPr>
        <w:t>: observaciones a los proyectos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Defenderse</w:t>
      </w:r>
      <w:r>
        <w:rPr>
          <w:rFonts w:ascii="Cambria" w:hAnsi="Cambria" w:cs="Cambria" w:eastAsia="Cambria"/>
          <w:sz w:val="22"/>
        </w:rPr>
        <w:t>: Comisión o SOLVIT, tribunales nacionales, indemnización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Mercado único inacabado: Estrategia 2025 e </w:t>
      </w:r>
      <w:r>
        <w:rPr>
          <w:rFonts w:ascii="Cambria" w:hAnsi="Cambria" w:cs="Cambria" w:eastAsia="Cambria"/>
          <w:b/>
          <w:sz w:val="22"/>
        </w:rPr>
        <w:t>IMERA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 Directiva 2015/1535 sigue siendo la mejor herramienta preventiva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29 – Medidas de armonización y transparencia en la UE.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29 – Medidas de armonización y transparencia en la UE.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