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exterior</w:t>
      </w:r>
      <w:r>
        <w:rPr>
          <w:rFonts w:ascii="Cambria" w:hAnsi="Cambria" w:cs="Cambria" w:eastAsia="Cambria"/>
          <w:sz w:val="22"/>
        </w:rPr>
        <w:t>: transacciones de bienes y servicios entre partes ubicadas en distintos países o regiones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Sujeto a normas de </w:t>
      </w:r>
      <w:r>
        <w:rPr>
          <w:rFonts w:ascii="Cambria" w:hAnsi="Cambria" w:cs="Cambria" w:eastAsia="Cambria"/>
          <w:b/>
          <w:sz w:val="22"/>
        </w:rPr>
        <w:t>control de productos</w:t>
      </w:r>
      <w:r>
        <w:rPr>
          <w:rFonts w:ascii="Cambria" w:hAnsi="Cambria" w:cs="Cambria" w:eastAsia="Cambria"/>
          <w:sz w:val="22"/>
        </w:rPr>
        <w:t xml:space="preserve"> (sanitarias, seguridad), de </w:t>
      </w:r>
      <w:r>
        <w:rPr>
          <w:rFonts w:ascii="Cambria" w:hAnsi="Cambria" w:cs="Cambria" w:eastAsia="Cambria"/>
          <w:b/>
          <w:sz w:val="22"/>
        </w:rPr>
        <w:t>procedimiento</w:t>
      </w:r>
      <w:r>
        <w:rPr>
          <w:rFonts w:ascii="Cambria" w:hAnsi="Cambria" w:cs="Cambria" w:eastAsia="Cambria"/>
          <w:sz w:val="22"/>
        </w:rPr>
        <w:t xml:space="preserve"> (trámites aduaneros, registros) y de </w:t>
      </w:r>
      <w:r>
        <w:rPr>
          <w:rFonts w:ascii="Cambria" w:hAnsi="Cambria" w:cs="Cambria" w:eastAsia="Cambria"/>
          <w:b/>
          <w:sz w:val="22"/>
        </w:rPr>
        <w:t>tributación</w:t>
      </w:r>
      <w:r>
        <w:rPr>
          <w:rFonts w:ascii="Cambria" w:hAnsi="Cambria" w:cs="Cambria" w:eastAsia="Cambria"/>
          <w:sz w:val="22"/>
        </w:rPr>
        <w:t xml:space="preserve"> (impuestos, aranceles)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Objetivo: satisfacer la demanda de los consumidores aprovechando las </w:t>
      </w:r>
      <w:r>
        <w:rPr>
          <w:rFonts w:ascii="Cambria" w:hAnsi="Cambria" w:cs="Cambria" w:eastAsia="Cambria"/>
          <w:b/>
          <w:sz w:val="22"/>
        </w:rPr>
        <w:t>ventajas comparativas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 conjunto de los países forma el </w:t>
      </w:r>
      <w:r>
        <w:rPr>
          <w:rFonts w:ascii="Cambria" w:hAnsi="Cambria" w:cs="Cambria" w:eastAsia="Cambria"/>
          <w:b/>
          <w:sz w:val="22"/>
        </w:rPr>
        <w:t>comercio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 del tema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Rasgos</w:t>
      </w:r>
      <w:r>
        <w:rPr>
          <w:rFonts w:ascii="Cambria" w:hAnsi="Cambria" w:cs="Cambria" w:eastAsia="Cambria"/>
          <w:sz w:val="22"/>
        </w:rPr>
        <w:t xml:space="preserve"> del comercio exterior español y causas estructurales y coyunturales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Exportación e importación</w:t>
      </w:r>
      <w:r>
        <w:rPr>
          <w:rFonts w:ascii="Cambria" w:hAnsi="Cambria" w:cs="Cambria" w:eastAsia="Cambria"/>
          <w:sz w:val="22"/>
        </w:rPr>
        <w:t>: índices, estructura sectorial, destinos y perspectivas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EL COMERCIO EXTERIOR ESPAÑOL: PRINCIPALES RASGOS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hechos clave</w:t>
      </w:r>
      <w:r>
        <w:rPr>
          <w:rFonts w:ascii="Cambria" w:hAnsi="Cambria" w:cs="Cambria" w:eastAsia="Cambria"/>
          <w:sz w:val="22"/>
        </w:rPr>
        <w:t xml:space="preserve"> ligados a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1993</w:t>
      </w:r>
      <w:r>
        <w:rPr>
          <w:rFonts w:ascii="Cambria" w:hAnsi="Cambria" w:cs="Cambria" w:eastAsia="Cambria"/>
          <w:sz w:val="22"/>
        </w:rPr>
        <w:t>: Mercado Único Europeo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1999</w:t>
      </w:r>
      <w:r>
        <w:rPr>
          <w:rFonts w:ascii="Cambria" w:hAnsi="Cambria" w:cs="Cambria" w:eastAsia="Cambria"/>
          <w:sz w:val="22"/>
        </w:rPr>
        <w:t xml:space="preserve">: adhesión a la tercera fase de la </w:t>
      </w:r>
      <w:r>
        <w:rPr>
          <w:rFonts w:ascii="Cambria" w:hAnsi="Cambria" w:cs="Cambria" w:eastAsia="Cambria"/>
          <w:b/>
          <w:sz w:val="22"/>
        </w:rPr>
        <w:t>UEM</w:t>
      </w:r>
      <w:r>
        <w:rPr>
          <w:rFonts w:ascii="Cambria" w:hAnsi="Cambria" w:cs="Cambria" w:eastAsia="Cambria"/>
          <w:sz w:val="22"/>
        </w:rPr>
        <w:t xml:space="preserve">, con el euro en </w:t>
      </w:r>
      <w:r>
        <w:rPr>
          <w:rFonts w:ascii="Cambria" w:hAnsi="Cambria" w:cs="Cambria" w:eastAsia="Cambria"/>
          <w:b/>
          <w:sz w:val="22"/>
        </w:rPr>
        <w:t>2002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Grado de apertura</w:t>
      </w:r>
      <w:r>
        <w:rPr>
          <w:rFonts w:ascii="Cambria" w:hAnsi="Cambria" w:cs="Cambria" w:eastAsia="Cambria"/>
          <w:sz w:val="22"/>
        </w:rPr>
        <w:t xml:space="preserve">: de en torno al </w:t>
      </w:r>
      <w:r>
        <w:rPr>
          <w:rFonts w:ascii="Cambria" w:hAnsi="Cambria" w:cs="Cambria" w:eastAsia="Cambria"/>
          <w:b/>
          <w:sz w:val="22"/>
        </w:rPr>
        <w:t>40 %</w:t>
      </w:r>
      <w:r>
        <w:rPr>
          <w:rFonts w:ascii="Cambria" w:hAnsi="Cambria" w:cs="Cambria" w:eastAsia="Cambria"/>
          <w:sz w:val="22"/>
        </w:rPr>
        <w:t xml:space="preserve"> en 1994 a niveles sensiblemente superiores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Exportaciones de bienes y servicios: cerca del </w:t>
      </w:r>
      <w:r>
        <w:rPr>
          <w:rFonts w:ascii="Cambria" w:hAnsi="Cambria" w:cs="Cambria" w:eastAsia="Cambria"/>
          <w:b/>
          <w:sz w:val="22"/>
        </w:rPr>
        <w:t>39 % del PIB</w:t>
      </w:r>
      <w:r>
        <w:rPr>
          <w:rFonts w:ascii="Cambria" w:hAnsi="Cambria" w:cs="Cambria" w:eastAsia="Cambria"/>
          <w:sz w:val="22"/>
        </w:rPr>
        <w:t xml:space="preserve"> en 2023 (</w:t>
      </w:r>
      <w:r>
        <w:rPr>
          <w:rFonts w:ascii="Cambria" w:hAnsi="Cambria" w:cs="Cambria" w:eastAsia="Cambria"/>
          <w:b/>
          <w:sz w:val="22"/>
        </w:rPr>
        <w:t>22 %</w:t>
      </w:r>
      <w:r>
        <w:rPr>
          <w:rFonts w:ascii="Cambria" w:hAnsi="Cambria" w:cs="Cambria" w:eastAsia="Cambria"/>
          <w:sz w:val="22"/>
        </w:rPr>
        <w:t xml:space="preserve"> en 1995)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Exportaciones de servicios: cerca del </w:t>
      </w:r>
      <w:r>
        <w:rPr>
          <w:rFonts w:ascii="Cambria" w:hAnsi="Cambria" w:cs="Cambria" w:eastAsia="Cambria"/>
          <w:b/>
          <w:sz w:val="22"/>
        </w:rPr>
        <w:t>15 % del PIB</w:t>
      </w:r>
      <w:r>
        <w:rPr>
          <w:rFonts w:ascii="Cambria" w:hAnsi="Cambria" w:cs="Cambria" w:eastAsia="Cambria"/>
          <w:sz w:val="22"/>
        </w:rPr>
        <w:t xml:space="preserve"> en 2024, máximo histórico, por turismo y servicios no turísticos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Principales rasgos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Apertura continua</w:t>
      </w:r>
      <w:r>
        <w:rPr>
          <w:rFonts w:ascii="Cambria" w:hAnsi="Cambria" w:cs="Cambria" w:eastAsia="Cambria"/>
          <w:sz w:val="22"/>
        </w:rPr>
        <w:t xml:space="preserve">, con retrocesos en las crisis: </w:t>
      </w:r>
      <w:r>
        <w:rPr>
          <w:rFonts w:ascii="Cambria" w:hAnsi="Cambria" w:cs="Cambria" w:eastAsia="Cambria"/>
          <w:b/>
          <w:sz w:val="22"/>
        </w:rPr>
        <w:t>2008-2010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2020</w:t>
      </w:r>
      <w:r>
        <w:rPr>
          <w:rFonts w:ascii="Cambria" w:hAnsi="Cambria" w:cs="Cambria" w:eastAsia="Cambria"/>
          <w:sz w:val="22"/>
        </w:rPr>
        <w:t xml:space="preserve"> (covid-19) y, en menor medida, </w:t>
      </w:r>
      <w:r>
        <w:rPr>
          <w:rFonts w:ascii="Cambria" w:hAnsi="Cambria" w:cs="Cambria" w:eastAsia="Cambria"/>
          <w:b/>
          <w:sz w:val="22"/>
        </w:rPr>
        <w:t>2022-2023</w:t>
      </w:r>
      <w:r>
        <w:rPr>
          <w:rFonts w:ascii="Cambria" w:hAnsi="Cambria" w:cs="Cambria" w:eastAsia="Cambria"/>
          <w:sz w:val="22"/>
        </w:rPr>
        <w:t xml:space="preserve"> (crisis energética por la invasión rusa de Ucrania)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Sector exterior como motor</w:t>
      </w:r>
      <w:r>
        <w:rPr>
          <w:rFonts w:ascii="Cambria" w:hAnsi="Cambria" w:cs="Cambria" w:eastAsia="Cambria"/>
          <w:sz w:val="22"/>
        </w:rPr>
        <w:t xml:space="preserve"> y no como restricción al crecimiento del PIB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Cuenta corriente 2024: superávit de </w:t>
      </w:r>
      <w:r>
        <w:rPr>
          <w:rFonts w:ascii="Cambria" w:hAnsi="Cambria" w:cs="Cambria" w:eastAsia="Cambria"/>
          <w:b/>
          <w:sz w:val="22"/>
        </w:rPr>
        <w:t>48.100 M€</w:t>
      </w:r>
      <w:r>
        <w:rPr>
          <w:rFonts w:ascii="Cambria" w:hAnsi="Cambria" w:cs="Cambria" w:eastAsia="Cambria"/>
          <w:sz w:val="22"/>
        </w:rPr>
        <w:t xml:space="preserve"> (+21 %), </w:t>
      </w:r>
      <w:r>
        <w:rPr>
          <w:rFonts w:ascii="Cambria" w:hAnsi="Cambria" w:cs="Cambria" w:eastAsia="Cambria"/>
          <w:b/>
          <w:sz w:val="22"/>
        </w:rPr>
        <w:t>3,0 % del PIB</w:t>
      </w:r>
      <w:r>
        <w:rPr>
          <w:rFonts w:ascii="Cambria" w:hAnsi="Cambria" w:cs="Cambria" w:eastAsia="Cambria"/>
          <w:sz w:val="22"/>
        </w:rPr>
        <w:t>, cerca del máximo (3,1 % en 2016)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Capacidad de financiación: </w:t>
      </w:r>
      <w:r>
        <w:rPr>
          <w:rFonts w:ascii="Cambria" w:hAnsi="Cambria" w:cs="Cambria" w:eastAsia="Cambria"/>
          <w:b/>
          <w:sz w:val="22"/>
        </w:rPr>
        <w:t>4,2 % del PIB</w:t>
      </w:r>
      <w:r>
        <w:rPr>
          <w:rFonts w:ascii="Cambria" w:hAnsi="Cambria" w:cs="Cambria" w:eastAsia="Cambria"/>
          <w:sz w:val="22"/>
        </w:rPr>
        <w:t>, máximo histórico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Internacionalización empresarial</w:t>
      </w:r>
      <w:r>
        <w:rPr>
          <w:rFonts w:ascii="Cambria" w:hAnsi="Cambria" w:cs="Cambria" w:eastAsia="Cambria"/>
          <w:sz w:val="22"/>
        </w:rPr>
        <w:t xml:space="preserve">: de receptor neto a </w:t>
      </w:r>
      <w:r>
        <w:rPr>
          <w:rFonts w:ascii="Cambria" w:hAnsi="Cambria" w:cs="Cambria" w:eastAsia="Cambria"/>
          <w:b/>
          <w:sz w:val="22"/>
        </w:rPr>
        <w:t>emisor neto</w:t>
      </w:r>
      <w:r>
        <w:rPr>
          <w:rFonts w:ascii="Cambria" w:hAnsi="Cambria" w:cs="Cambria" w:eastAsia="Cambria"/>
          <w:sz w:val="22"/>
        </w:rPr>
        <w:t xml:space="preserve"> de inversión extranjera directa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Rezago frente a la zona euro por el </w:t>
      </w:r>
      <w:r>
        <w:rPr>
          <w:rFonts w:ascii="Cambria" w:hAnsi="Cambria" w:cs="Cambria" w:eastAsia="Cambria"/>
          <w:b/>
          <w:sz w:val="22"/>
        </w:rPr>
        <w:t>reducido tamaño medio</w:t>
      </w:r>
      <w:r>
        <w:rPr>
          <w:rFonts w:ascii="Cambria" w:hAnsi="Cambria" w:cs="Cambria" w:eastAsia="Cambria"/>
          <w:sz w:val="22"/>
        </w:rPr>
        <w:t xml:space="preserve"> de la empresa exportadora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Déficit comercial de mercancías persistente</w:t>
      </w:r>
      <w:r>
        <w:rPr>
          <w:rFonts w:ascii="Cambria" w:hAnsi="Cambria" w:cs="Cambria" w:eastAsia="Cambria"/>
          <w:sz w:val="22"/>
        </w:rPr>
        <w:t xml:space="preserve"> y de magnitud variable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2020: </w:t>
      </w:r>
      <w:r>
        <w:rPr>
          <w:rFonts w:ascii="Cambria" w:hAnsi="Cambria" w:cs="Cambria" w:eastAsia="Cambria"/>
          <w:b/>
          <w:sz w:val="22"/>
        </w:rPr>
        <w:t>-13.296,9 M€</w:t>
      </w:r>
      <w:r>
        <w:rPr>
          <w:rFonts w:ascii="Cambria" w:hAnsi="Cambria" w:cs="Cambria" w:eastAsia="Cambria"/>
          <w:sz w:val="22"/>
        </w:rPr>
        <w:t xml:space="preserve"> (mínimo histórico)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2022: </w:t>
      </w:r>
      <w:r>
        <w:rPr>
          <w:rFonts w:ascii="Cambria" w:hAnsi="Cambria" w:cs="Cambria" w:eastAsia="Cambria"/>
          <w:b/>
          <w:sz w:val="22"/>
        </w:rPr>
        <w:t>-71.603,6 M€</w:t>
      </w:r>
      <w:r>
        <w:rPr>
          <w:rFonts w:ascii="Cambria" w:hAnsi="Cambria" w:cs="Cambria" w:eastAsia="Cambria"/>
          <w:sz w:val="22"/>
        </w:rPr>
        <w:t xml:space="preserve"> (crisis energética)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2023: </w:t>
      </w:r>
      <w:r>
        <w:rPr>
          <w:rFonts w:ascii="Cambria" w:hAnsi="Cambria" w:cs="Cambria" w:eastAsia="Cambria"/>
          <w:b/>
          <w:sz w:val="22"/>
        </w:rPr>
        <w:t>-39.625,0 M€</w:t>
      </w:r>
      <w:r>
        <w:rPr>
          <w:rFonts w:ascii="Cambria" w:hAnsi="Cambria" w:cs="Cambria" w:eastAsia="Cambria"/>
          <w:sz w:val="22"/>
        </w:rPr>
        <w:t xml:space="preserve"> · 2024: </w:t>
      </w:r>
      <w:r>
        <w:rPr>
          <w:rFonts w:ascii="Cambria" w:hAnsi="Cambria" w:cs="Cambria" w:eastAsia="Cambria"/>
          <w:b/>
          <w:sz w:val="22"/>
        </w:rPr>
        <w:t>-40.275,9 M€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2025: </w:t>
      </w:r>
      <w:r>
        <w:rPr>
          <w:rFonts w:ascii="Cambria" w:hAnsi="Cambria" w:cs="Cambria" w:eastAsia="Cambria"/>
          <w:b/>
          <w:sz w:val="22"/>
        </w:rPr>
        <w:t>-57.054,7 M€</w:t>
      </w:r>
      <w:r>
        <w:rPr>
          <w:rFonts w:ascii="Cambria" w:hAnsi="Cambria" w:cs="Cambria" w:eastAsia="Cambria"/>
          <w:sz w:val="22"/>
        </w:rPr>
        <w:t xml:space="preserve"> (datos provisionales, Informe Mensual de Comercio Exterior de la 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Causas del déficit estructural</w:t>
      </w:r>
      <w:r>
        <w:rPr>
          <w:rFonts w:ascii="Cambria" w:hAnsi="Cambria" w:cs="Cambria" w:eastAsia="Cambria"/>
          <w:sz w:val="22"/>
        </w:rPr>
        <w:t>: razones estructurales y coyunturales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Razones estructurales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Patrón geográfico</w:t>
      </w:r>
      <w:r>
        <w:rPr>
          <w:rFonts w:ascii="Cambria" w:hAnsi="Cambria" w:cs="Cambria" w:eastAsia="Cambria"/>
          <w:sz w:val="22"/>
        </w:rPr>
        <w:t>: exportaciones concentradas en la UE y la zona euro, con poca presencia en EEUU y este asiático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Concentración acentuada por los aranceles y tensiones EEUU-UE-China desde </w:t>
      </w:r>
      <w:r>
        <w:rPr>
          <w:rFonts w:ascii="Cambria" w:hAnsi="Cambria" w:cs="Cambria" w:eastAsia="Cambria"/>
          <w:b/>
          <w:sz w:val="22"/>
        </w:rPr>
        <w:t>2018</w:t>
      </w:r>
      <w:r>
        <w:rPr>
          <w:rFonts w:ascii="Cambria" w:hAnsi="Cambria" w:cs="Cambria" w:eastAsia="Cambria"/>
          <w:sz w:val="22"/>
        </w:rPr>
        <w:t xml:space="preserve"> y más desde </w:t>
      </w:r>
      <w:r>
        <w:rPr>
          <w:rFonts w:ascii="Cambria" w:hAnsi="Cambria" w:cs="Cambria" w:eastAsia="Cambria"/>
          <w:b/>
          <w:sz w:val="22"/>
        </w:rPr>
        <w:t>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Patrón sectorial</w:t>
      </w:r>
      <w:r>
        <w:rPr>
          <w:rFonts w:ascii="Cambria" w:hAnsi="Cambria" w:cs="Cambria" w:eastAsia="Cambria"/>
          <w:sz w:val="22"/>
        </w:rPr>
        <w:t xml:space="preserve">: peso de sectores de tecnología </w:t>
      </w:r>
      <w:r>
        <w:rPr>
          <w:rFonts w:ascii="Cambria" w:hAnsi="Cambria" w:cs="Cambria" w:eastAsia="Cambria"/>
          <w:b/>
          <w:sz w:val="22"/>
        </w:rPr>
        <w:t>media o media-baja</w:t>
      </w:r>
      <w:r>
        <w:rPr>
          <w:rFonts w:ascii="Cambria" w:hAnsi="Cambria" w:cs="Cambria" w:eastAsia="Cambria"/>
          <w:sz w:val="22"/>
        </w:rPr>
        <w:t xml:space="preserve"> (alimentación, químicos, automóvil) y reducido de alta tecnología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Competitividad</w:t>
      </w:r>
      <w:r>
        <w:rPr>
          <w:rFonts w:ascii="Cambria" w:hAnsi="Cambria" w:cs="Cambria" w:eastAsia="Cambria"/>
          <w:sz w:val="22"/>
        </w:rPr>
        <w:t xml:space="preserve">: la contención de costes laborales tras la crisis </w:t>
      </w:r>
      <w:r>
        <w:rPr>
          <w:rFonts w:ascii="Cambria" w:hAnsi="Cambria" w:cs="Cambria" w:eastAsia="Cambria"/>
          <w:b/>
          <w:sz w:val="22"/>
        </w:rPr>
        <w:t>2008-2013</w:t>
      </w:r>
      <w:r>
        <w:rPr>
          <w:rFonts w:ascii="Cambria" w:hAnsi="Cambria" w:cs="Cambria" w:eastAsia="Cambria"/>
          <w:sz w:val="22"/>
        </w:rPr>
        <w:t xml:space="preserve"> corrigió la pérdida previa, pero la productividad sigue por debajo de la UE y EEUU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Escasez de recursos energéticos</w:t>
      </w:r>
      <w:r>
        <w:rPr>
          <w:rFonts w:ascii="Cambria" w:hAnsi="Cambria" w:cs="Cambria" w:eastAsia="Cambria"/>
          <w:sz w:val="22"/>
        </w:rPr>
        <w:t>: alta dependencia exterior, moderada por las renovables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Déficit energético: en torno al </w:t>
      </w:r>
      <w:r>
        <w:rPr>
          <w:rFonts w:ascii="Cambria" w:hAnsi="Cambria" w:cs="Cambria" w:eastAsia="Cambria"/>
          <w:b/>
          <w:sz w:val="22"/>
        </w:rPr>
        <w:t>85 %</w:t>
      </w:r>
      <w:r>
        <w:rPr>
          <w:rFonts w:ascii="Cambria" w:hAnsi="Cambria" w:cs="Cambria" w:eastAsia="Cambria"/>
          <w:sz w:val="22"/>
        </w:rPr>
        <w:t xml:space="preserve"> del déficit total en la pasada década, </w:t>
      </w:r>
      <w:r>
        <w:rPr>
          <w:rFonts w:ascii="Cambria" w:hAnsi="Cambria" w:cs="Cambria" w:eastAsia="Cambria"/>
          <w:b/>
          <w:sz w:val="22"/>
        </w:rPr>
        <w:t>75,6 %</w:t>
      </w:r>
      <w:r>
        <w:rPr>
          <w:rFonts w:ascii="Cambria" w:hAnsi="Cambria" w:cs="Cambria" w:eastAsia="Cambria"/>
          <w:sz w:val="22"/>
        </w:rPr>
        <w:t xml:space="preserve"> en 2024 y </w:t>
      </w:r>
      <w:r>
        <w:rPr>
          <w:rFonts w:ascii="Cambria" w:hAnsi="Cambria" w:cs="Cambria" w:eastAsia="Cambria"/>
          <w:b/>
          <w:sz w:val="22"/>
        </w:rPr>
        <w:t>51,3 %</w:t>
      </w:r>
      <w:r>
        <w:rPr>
          <w:rFonts w:ascii="Cambria" w:hAnsi="Cambria" w:cs="Cambria" w:eastAsia="Cambria"/>
          <w:sz w:val="22"/>
        </w:rPr>
        <w:t xml:space="preserve"> en 2025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Déficit no energético: de </w:t>
      </w:r>
      <w:r>
        <w:rPr>
          <w:rFonts w:ascii="Cambria" w:hAnsi="Cambria" w:cs="Cambria" w:eastAsia="Cambria"/>
          <w:b/>
          <w:sz w:val="22"/>
        </w:rPr>
        <w:t>-9.833,2 M€</w:t>
      </w:r>
      <w:r>
        <w:rPr>
          <w:rFonts w:ascii="Cambria" w:hAnsi="Cambria" w:cs="Cambria" w:eastAsia="Cambria"/>
          <w:sz w:val="22"/>
        </w:rPr>
        <w:t xml:space="preserve"> (2024) a </w:t>
      </w:r>
      <w:r>
        <w:rPr>
          <w:rFonts w:ascii="Cambria" w:hAnsi="Cambria" w:cs="Cambria" w:eastAsia="Cambria"/>
          <w:b/>
          <w:sz w:val="22"/>
        </w:rPr>
        <w:t>-27.762,8 M€</w:t>
      </w:r>
      <w:r>
        <w:rPr>
          <w:rFonts w:ascii="Cambria" w:hAnsi="Cambria" w:cs="Cambria" w:eastAsia="Cambria"/>
          <w:sz w:val="22"/>
        </w:rPr>
        <w:t xml:space="preserve"> (2025), más que duplicado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Dependencia de importaciones de alta tecnología</w:t>
      </w:r>
      <w:r>
        <w:rPr>
          <w:rFonts w:ascii="Cambria" w:hAnsi="Cambria" w:cs="Cambria" w:eastAsia="Cambria"/>
          <w:sz w:val="22"/>
        </w:rPr>
        <w:t>: escasa inversión en I+D+i y retraso industrial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Programas de apoyo del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Red.es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Competencia creciente en tecnología media y baja</w:t>
      </w:r>
      <w:r>
        <w:rPr>
          <w:rFonts w:ascii="Cambria" w:hAnsi="Cambria" w:cs="Cambria" w:eastAsia="Cambria"/>
          <w:sz w:val="22"/>
        </w:rPr>
        <w:t>: China y nuevos Estados miembros de la UE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Déficit con China </w:t>
      </w:r>
      <w:r>
        <w:rPr>
          <w:rFonts w:ascii="Cambria" w:hAnsi="Cambria" w:cs="Cambria" w:eastAsia="Cambria"/>
          <w:b/>
          <w:sz w:val="22"/>
        </w:rPr>
        <w:t>-42.278,0 M€</w:t>
      </w:r>
      <w:r>
        <w:rPr>
          <w:rFonts w:ascii="Cambria" w:hAnsi="Cambria" w:cs="Cambria" w:eastAsia="Cambria"/>
          <w:sz w:val="22"/>
        </w:rPr>
        <w:t xml:space="preserve"> en 2025, principal factor de deterioro del saldo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Razones coyunturales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Tipo de cambio del euro</w:t>
      </w:r>
      <w:r>
        <w:rPr>
          <w:rFonts w:ascii="Cambria" w:hAnsi="Cambria" w:cs="Cambria" w:eastAsia="Cambria"/>
          <w:sz w:val="22"/>
        </w:rPr>
        <w:t xml:space="preserve">: apreciación en la década de 2000, depreciación frente al dólar desde </w:t>
      </w:r>
      <w:r>
        <w:rPr>
          <w:rFonts w:ascii="Cambria" w:hAnsi="Cambria" w:cs="Cambria" w:eastAsia="Cambria"/>
          <w:b/>
          <w:sz w:val="22"/>
        </w:rPr>
        <w:t>2015</w:t>
      </w:r>
      <w:r>
        <w:rPr>
          <w:rFonts w:ascii="Cambria" w:hAnsi="Cambria" w:cs="Cambria" w:eastAsia="Cambria"/>
          <w:sz w:val="22"/>
        </w:rPr>
        <w:t>, rango estable y volatilidad desde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Demanda interna de la zona euro</w:t>
      </w:r>
      <w:r>
        <w:rPr>
          <w:rFonts w:ascii="Cambria" w:hAnsi="Cambria" w:cs="Cambria" w:eastAsia="Cambria"/>
          <w:sz w:val="22"/>
        </w:rPr>
        <w:t>: determina las exportaciones por su concentración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Demanda interna española</w:t>
      </w:r>
      <w:r>
        <w:rPr>
          <w:rFonts w:ascii="Cambria" w:hAnsi="Cambria" w:cs="Cambria" w:eastAsia="Cambria"/>
          <w:sz w:val="22"/>
        </w:rPr>
        <w:t xml:space="preserve">: PIB </w:t>
      </w:r>
      <w:r>
        <w:rPr>
          <w:rFonts w:ascii="Cambria" w:hAnsi="Cambria" w:cs="Cambria" w:eastAsia="Cambria"/>
          <w:b/>
          <w:sz w:val="22"/>
        </w:rPr>
        <w:t>+3,2 %</w:t>
      </w:r>
      <w:r>
        <w:rPr>
          <w:rFonts w:ascii="Cambria" w:hAnsi="Cambria" w:cs="Cambria" w:eastAsia="Cambria"/>
          <w:sz w:val="22"/>
        </w:rPr>
        <w:t xml:space="preserve"> en 2024, explica el fuerte crecimiento de las importaciones en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Precio de la energía</w:t>
      </w:r>
      <w:r>
        <w:rPr>
          <w:rFonts w:ascii="Cambria" w:hAnsi="Cambria" w:cs="Cambria" w:eastAsia="Cambria"/>
          <w:sz w:val="22"/>
        </w:rPr>
        <w:t>: petróleo y gas, con incidencia moderada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Contexto internacional</w:t>
      </w:r>
      <w:r>
        <w:rPr>
          <w:rFonts w:ascii="Cambria" w:hAnsi="Cambria" w:cs="Cambria" w:eastAsia="Cambria"/>
          <w:sz w:val="22"/>
        </w:rPr>
        <w:t>: aranceles y política comercial de EEUU desde 2025 y acuerdos de la UE (</w:t>
      </w:r>
      <w:r>
        <w:rPr>
          <w:rFonts w:ascii="Cambria" w:hAnsi="Cambria" w:cs="Cambria" w:eastAsia="Cambria"/>
          <w:b/>
          <w:sz w:val="22"/>
        </w:rPr>
        <w:t>T-MEC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 EXPORTACIÓN Y LA IMPORTACIÓN ESPAÑOLAS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Índices representativos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Tasa de apertura (GA)</w:t>
      </w:r>
      <w:r>
        <w:rPr>
          <w:rFonts w:ascii="Cambria" w:hAnsi="Cambria" w:cs="Cambria" w:eastAsia="Cambria"/>
          <w:sz w:val="22"/>
        </w:rPr>
        <w:t>: (X + M) / PIB, mide la apertura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Índice de Comercio Intraindustrial (ICI)</w:t>
      </w:r>
      <w:r>
        <w:rPr>
          <w:rFonts w:ascii="Cambria" w:hAnsi="Cambria" w:cs="Cambria" w:eastAsia="Cambria"/>
          <w:sz w:val="22"/>
        </w:rPr>
        <w:t>: comercio en ambas direcciones dentro de un mismo sector o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ICI≈0: reducido · ICI≈1: importante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En España, en torno al </w:t>
      </w:r>
      <w:r>
        <w:rPr>
          <w:rFonts w:ascii="Cambria" w:hAnsi="Cambria" w:cs="Cambria" w:eastAsia="Cambria"/>
          <w:b/>
          <w:sz w:val="22"/>
        </w:rPr>
        <w:t>70 %</w:t>
      </w:r>
      <w:r>
        <w:rPr>
          <w:rFonts w:ascii="Cambria" w:hAnsi="Cambria" w:cs="Cambria" w:eastAsia="Cambria"/>
          <w:sz w:val="22"/>
        </w:rPr>
        <w:t xml:space="preserve"> del comercio exterior es intraindustrial con la UE (Francia, Alemania, Reino Unido, Italia)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Índice de Ventaja Comparativa Absoluta (IVCA)</w:t>
      </w:r>
      <w:r>
        <w:rPr>
          <w:rFonts w:ascii="Cambria" w:hAnsi="Cambria" w:cs="Cambria" w:eastAsia="Cambria"/>
          <w:sz w:val="22"/>
        </w:rPr>
        <w:t>: cobertura de un grupo de productos frente al total del comercio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IVCA≈+1: se exporta mucho y se importa poco (superávit)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IVCA≈-1: se importa mucho y se exporta poco (déficit)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Índice de Ventaja Comparativa Relativa (IVCR)</w:t>
      </w:r>
      <w:r>
        <w:rPr>
          <w:rFonts w:ascii="Cambria" w:hAnsi="Cambria" w:cs="Cambria" w:eastAsia="Cambria"/>
          <w:sz w:val="22"/>
        </w:rPr>
        <w:t>: diferencia entre la VCA de un sector y la del conjunto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Positivo si es superior a la media, negativo si es inferior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Índice de Tendencia de la Competitividad (ITC)</w:t>
      </w:r>
      <w:r>
        <w:rPr>
          <w:rFonts w:ascii="Cambria" w:hAnsi="Cambria" w:cs="Cambria" w:eastAsia="Cambria"/>
          <w:sz w:val="22"/>
        </w:rPr>
        <w:t>: competitividad frente a los socios, según precios relativos y tipo de cambio del euro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ITC elevado: mayor IPC español o euro apreciado, </w:t>
      </w:r>
      <w:r>
        <w:rPr>
          <w:rFonts w:ascii="Cambria" w:hAnsi="Cambria" w:cs="Cambria" w:eastAsia="Cambria"/>
          <w:b/>
          <w:sz w:val="22"/>
        </w:rPr>
        <w:t>peor competitividad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Indicador Sintético de la Actividad Exportadora (ISAE)</w:t>
      </w:r>
      <w:r>
        <w:rPr>
          <w:rFonts w:ascii="Cambria" w:hAnsi="Cambria" w:cs="Cambria" w:eastAsia="Cambria"/>
          <w:sz w:val="22"/>
        </w:rPr>
        <w:t>: encuesta a exportadoras sobre cartera de pedidos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Perspectivas a </w:t>
      </w:r>
      <w:r>
        <w:rPr>
          <w:rFonts w:ascii="Cambria" w:hAnsi="Cambria" w:cs="Cambria" w:eastAsia="Cambria"/>
          <w:b/>
          <w:sz w:val="22"/>
        </w:rPr>
        <w:t>3 y 12 meses</w:t>
      </w:r>
      <w:r>
        <w:rPr>
          <w:rFonts w:ascii="Cambria" w:hAnsi="Cambria" w:cs="Cambria" w:eastAsia="Cambria"/>
          <w:sz w:val="22"/>
        </w:rPr>
        <w:t xml:space="preserve">, valores entre </w:t>
      </w:r>
      <w:r>
        <w:rPr>
          <w:rFonts w:ascii="Cambria" w:hAnsi="Cambria" w:cs="Cambria" w:eastAsia="Cambria"/>
          <w:b/>
          <w:sz w:val="22"/>
        </w:rPr>
        <w:t>-100 y +100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Estructura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Datos de </w:t>
      </w: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 xml:space="preserve"> (provisionales), Informe Mensual de Comercio Exterior de la Secretaría de Estado de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Exportaciones de mercancías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387.091,6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+0,7 %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Cuatro grandes sectores: bienes de equipo, alimentación, químicos y automóvil, en torno al </w:t>
      </w:r>
      <w:r>
        <w:rPr>
          <w:rFonts w:ascii="Cambria" w:hAnsi="Cambria" w:cs="Cambria" w:eastAsia="Cambria"/>
          <w:b/>
          <w:sz w:val="22"/>
        </w:rPr>
        <w:t>58,6 %</w:t>
      </w:r>
      <w:r>
        <w:rPr>
          <w:rFonts w:ascii="Cambria" w:hAnsi="Cambria" w:cs="Cambria" w:eastAsia="Cambria"/>
          <w:sz w:val="22"/>
        </w:rPr>
        <w:t xml:space="preserve"> del total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Bienes de equipo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19,4 %</w:t>
      </w:r>
      <w:r>
        <w:rPr>
          <w:rFonts w:ascii="Cambria" w:hAnsi="Cambria" w:cs="Cambria" w:eastAsia="Cambria"/>
          <w:sz w:val="22"/>
        </w:rPr>
        <w:t>, +0,8 %, primer sector, destino principal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Alimentación, bebidas y tabaco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19,3 %</w:t>
      </w:r>
      <w:r>
        <w:rPr>
          <w:rFonts w:ascii="Cambria" w:hAnsi="Cambria" w:cs="Cambria" w:eastAsia="Cambria"/>
          <w:sz w:val="22"/>
        </w:rPr>
        <w:t>, +4,1 %, frutas, hortalizas y legumbres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Productos químicos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17,1 %</w:t>
      </w:r>
      <w:r>
        <w:rPr>
          <w:rFonts w:ascii="Cambria" w:hAnsi="Cambria" w:cs="Cambria" w:eastAsia="Cambria"/>
          <w:sz w:val="22"/>
        </w:rPr>
        <w:t>, +5,2 %, medicamentos +14,3 %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Automóvil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12,8 %</w:t>
      </w:r>
      <w:r>
        <w:rPr>
          <w:rFonts w:ascii="Cambria" w:hAnsi="Cambria" w:cs="Cambria" w:eastAsia="Cambria"/>
          <w:sz w:val="22"/>
        </w:rPr>
        <w:t>, -7,1 %, caída en automóviles y sobre todo en componentes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Semimanufacturas no químicas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9,7 %</w:t>
      </w:r>
      <w:r>
        <w:rPr>
          <w:rFonts w:ascii="Cambria" w:hAnsi="Cambria" w:cs="Cambria" w:eastAsia="Cambria"/>
          <w:sz w:val="22"/>
        </w:rPr>
        <w:t>, +0,4 %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Manufacturas de consumo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9,2 %</w:t>
      </w:r>
      <w:r>
        <w:rPr>
          <w:rFonts w:ascii="Cambria" w:hAnsi="Cambria" w:cs="Cambria" w:eastAsia="Cambria"/>
          <w:sz w:val="22"/>
        </w:rPr>
        <w:t>, +3,8 %, textil y juguetes (+37,3 %)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Resto: energéticos </w:t>
      </w:r>
      <w:r>
        <w:rPr>
          <w:rFonts w:ascii="Cambria" w:hAnsi="Cambria" w:cs="Cambria" w:eastAsia="Cambria"/>
          <w:b/>
          <w:sz w:val="22"/>
        </w:rPr>
        <w:t>6,3 %</w:t>
      </w:r>
      <w:r>
        <w:rPr>
          <w:rFonts w:ascii="Cambria" w:hAnsi="Cambria" w:cs="Cambria" w:eastAsia="Cambria"/>
          <w:sz w:val="22"/>
        </w:rPr>
        <w:t xml:space="preserve"> (-13,7 %), materias primas </w:t>
      </w:r>
      <w:r>
        <w:rPr>
          <w:rFonts w:ascii="Cambria" w:hAnsi="Cambria" w:cs="Cambria" w:eastAsia="Cambria"/>
          <w:b/>
          <w:sz w:val="22"/>
        </w:rPr>
        <w:t>2,5 %</w:t>
      </w:r>
      <w:r>
        <w:rPr>
          <w:rFonts w:ascii="Cambria" w:hAnsi="Cambria" w:cs="Cambria" w:eastAsia="Cambria"/>
          <w:sz w:val="22"/>
        </w:rPr>
        <w:t xml:space="preserve"> (+10,2 %), consumo duradero </w:t>
      </w:r>
      <w:r>
        <w:rPr>
          <w:rFonts w:ascii="Cambria" w:hAnsi="Cambria" w:cs="Cambria" w:eastAsia="Cambria"/>
          <w:b/>
          <w:sz w:val="22"/>
        </w:rPr>
        <w:t>1,6 %</w:t>
      </w:r>
      <w:r>
        <w:rPr>
          <w:rFonts w:ascii="Cambria" w:hAnsi="Cambria" w:cs="Cambria" w:eastAsia="Cambria"/>
          <w:sz w:val="22"/>
        </w:rPr>
        <w:t xml:space="preserve"> (+7,1 %)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Importaciones de mercancías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444.146,4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+4,6 %</w:t>
      </w:r>
      <w:r>
        <w:rPr>
          <w:rFonts w:ascii="Cambria" w:hAnsi="Cambria" w:cs="Cambria" w:eastAsia="Cambria"/>
          <w:sz w:val="22"/>
        </w:rPr>
        <w:t>, menos concentradas que las exportaciones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Bienes de equipo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23,7 %</w:t>
      </w:r>
      <w:r>
        <w:rPr>
          <w:rFonts w:ascii="Cambria" w:hAnsi="Cambria" w:cs="Cambria" w:eastAsia="Cambria"/>
          <w:sz w:val="22"/>
        </w:rPr>
        <w:t>, +9,5 %, equipos de oficina y telecomunicaciones, origen UE y China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Productos químicos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16,2 %</w:t>
      </w:r>
      <w:r>
        <w:rPr>
          <w:rFonts w:ascii="Cambria" w:hAnsi="Cambria" w:cs="Cambria" w:eastAsia="Cambria"/>
          <w:sz w:val="22"/>
        </w:rPr>
        <w:t>, +6,0 %, medicamentos y plásticos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Alimentación, bebidas y tabaco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13,0 %</w:t>
      </w:r>
      <w:r>
        <w:rPr>
          <w:rFonts w:ascii="Cambria" w:hAnsi="Cambria" w:cs="Cambria" w:eastAsia="Cambria"/>
          <w:sz w:val="22"/>
        </w:rPr>
        <w:t>, +7,0 %, azúcar, café y cacao (+25,1 %), cárnicos (+27,7 %)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Energéticos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12,1 %</w:t>
      </w:r>
      <w:r>
        <w:rPr>
          <w:rFonts w:ascii="Cambria" w:hAnsi="Cambria" w:cs="Cambria" w:eastAsia="Cambria"/>
          <w:sz w:val="22"/>
        </w:rPr>
        <w:t>, -8,5 %, proveedores Argelia, EEUU, Nigeria y Arabia Saudí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Manufacturas de consumo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11,4 %</w:t>
      </w:r>
      <w:r>
        <w:rPr>
          <w:rFonts w:ascii="Cambria" w:hAnsi="Cambria" w:cs="Cambria" w:eastAsia="Cambria"/>
          <w:sz w:val="22"/>
        </w:rPr>
        <w:t>, +7,6 %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Automóvil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10,4 %</w:t>
      </w:r>
      <w:r>
        <w:rPr>
          <w:rFonts w:ascii="Cambria" w:hAnsi="Cambria" w:cs="Cambria" w:eastAsia="Cambria"/>
          <w:sz w:val="22"/>
        </w:rPr>
        <w:t>, +3,8 %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Resto: semimanufacturas no químicas </w:t>
      </w:r>
      <w:r>
        <w:rPr>
          <w:rFonts w:ascii="Cambria" w:hAnsi="Cambria" w:cs="Cambria" w:eastAsia="Cambria"/>
          <w:b/>
          <w:sz w:val="22"/>
        </w:rPr>
        <w:t>7,0 %</w:t>
      </w:r>
      <w:r>
        <w:rPr>
          <w:rFonts w:ascii="Cambria" w:hAnsi="Cambria" w:cs="Cambria" w:eastAsia="Cambria"/>
          <w:sz w:val="22"/>
        </w:rPr>
        <w:t xml:space="preserve">, materias primas </w:t>
      </w:r>
      <w:r>
        <w:rPr>
          <w:rFonts w:ascii="Cambria" w:hAnsi="Cambria" w:cs="Cambria" w:eastAsia="Cambria"/>
          <w:b/>
          <w:sz w:val="22"/>
        </w:rPr>
        <w:t>2,8 %</w:t>
      </w:r>
      <w:r>
        <w:rPr>
          <w:rFonts w:ascii="Cambria" w:hAnsi="Cambria" w:cs="Cambria" w:eastAsia="Cambria"/>
          <w:sz w:val="22"/>
        </w:rPr>
        <w:t xml:space="preserve">, consumo duradero </w:t>
      </w:r>
      <w:r>
        <w:rPr>
          <w:rFonts w:ascii="Cambria" w:hAnsi="Cambria" w:cs="Cambria" w:eastAsia="Cambria"/>
          <w:b/>
          <w:sz w:val="22"/>
        </w:rPr>
        <w:t>2,6 %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Saldo de mercancías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-57.054,7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Superávit: alimentación (</w:t>
      </w:r>
      <w:r>
        <w:rPr>
          <w:rFonts w:ascii="Cambria" w:hAnsi="Cambria" w:cs="Cambria" w:eastAsia="Cambria"/>
          <w:b/>
          <w:sz w:val="22"/>
        </w:rPr>
        <w:t>+17.179,5 M€</w:t>
      </w:r>
      <w:r>
        <w:rPr>
          <w:rFonts w:ascii="Cambria" w:hAnsi="Cambria" w:cs="Cambria" w:eastAsia="Cambria"/>
          <w:sz w:val="22"/>
        </w:rPr>
        <w:t>), semimanufacturas no químicas (</w:t>
      </w:r>
      <w:r>
        <w:rPr>
          <w:rFonts w:ascii="Cambria" w:hAnsi="Cambria" w:cs="Cambria" w:eastAsia="Cambria"/>
          <w:b/>
          <w:sz w:val="22"/>
        </w:rPr>
        <w:t>+6.289,1 M€</w:t>
      </w:r>
      <w:r>
        <w:rPr>
          <w:rFonts w:ascii="Cambria" w:hAnsi="Cambria" w:cs="Cambria" w:eastAsia="Cambria"/>
          <w:sz w:val="22"/>
        </w:rPr>
        <w:t>), cerámicos y otras mercancías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Déficit: bienes de equipo (</w:t>
      </w:r>
      <w:r>
        <w:rPr>
          <w:rFonts w:ascii="Cambria" w:hAnsi="Cambria" w:cs="Cambria" w:eastAsia="Cambria"/>
          <w:b/>
          <w:sz w:val="22"/>
        </w:rPr>
        <w:t>-30.280,3 M€</w:t>
      </w:r>
      <w:r>
        <w:rPr>
          <w:rFonts w:ascii="Cambria" w:hAnsi="Cambria" w:cs="Cambria" w:eastAsia="Cambria"/>
          <w:sz w:val="22"/>
        </w:rPr>
        <w:t>, el mayor), energéticos (</w:t>
      </w:r>
      <w:r>
        <w:rPr>
          <w:rFonts w:ascii="Cambria" w:hAnsi="Cambria" w:cs="Cambria" w:eastAsia="Cambria"/>
          <w:b/>
          <w:sz w:val="22"/>
        </w:rPr>
        <w:t>-29.292,0 M€</w:t>
      </w:r>
      <w:r>
        <w:rPr>
          <w:rFonts w:ascii="Cambria" w:hAnsi="Cambria" w:cs="Cambria" w:eastAsia="Cambria"/>
          <w:sz w:val="22"/>
        </w:rPr>
        <w:t>), químicos (</w:t>
      </w:r>
      <w:r>
        <w:rPr>
          <w:rFonts w:ascii="Cambria" w:hAnsi="Cambria" w:cs="Cambria" w:eastAsia="Cambria"/>
          <w:b/>
          <w:sz w:val="22"/>
        </w:rPr>
        <w:t>-6.126,1 M€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Automóvil: saldo de </w:t>
      </w:r>
      <w:r>
        <w:rPr>
          <w:rFonts w:ascii="Cambria" w:hAnsi="Cambria" w:cs="Cambria" w:eastAsia="Cambria"/>
          <w:b/>
          <w:sz w:val="22"/>
        </w:rPr>
        <w:t>+3.130,2 M€</w:t>
      </w:r>
      <w:r>
        <w:rPr>
          <w:rFonts w:ascii="Cambria" w:hAnsi="Cambria" w:cs="Cambria" w:eastAsia="Cambria"/>
          <w:sz w:val="22"/>
        </w:rPr>
        <w:t xml:space="preserve"> frente a </w:t>
      </w:r>
      <w:r>
        <w:rPr>
          <w:rFonts w:ascii="Cambria" w:hAnsi="Cambria" w:cs="Cambria" w:eastAsia="Cambria"/>
          <w:b/>
          <w:sz w:val="22"/>
        </w:rPr>
        <w:t>+8.588,1 M€</w:t>
      </w:r>
      <w:r>
        <w:rPr>
          <w:rFonts w:ascii="Cambria" w:hAnsi="Cambria" w:cs="Cambria" w:eastAsia="Cambria"/>
          <w:sz w:val="22"/>
        </w:rPr>
        <w:t xml:space="preserve"> en 2024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Servicios</w:t>
      </w:r>
      <w:r>
        <w:rPr>
          <w:rFonts w:ascii="Cambria" w:hAnsi="Cambria" w:cs="Cambria" w:eastAsia="Cambria"/>
          <w:sz w:val="22"/>
        </w:rPr>
        <w:t xml:space="preserve"> (Banco de España, cierre de 2025)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Superávit de la balanza de servicios: unos </w:t>
      </w:r>
      <w:r>
        <w:rPr>
          <w:rFonts w:ascii="Cambria" w:hAnsi="Cambria" w:cs="Cambria" w:eastAsia="Cambria"/>
          <w:b/>
          <w:sz w:val="22"/>
        </w:rPr>
        <w:t>113.200 M€</w:t>
      </w:r>
      <w:r>
        <w:rPr>
          <w:rFonts w:ascii="Cambria" w:hAnsi="Cambria" w:cs="Cambria" w:eastAsia="Cambria"/>
          <w:sz w:val="22"/>
        </w:rPr>
        <w:t xml:space="preserve"> (100.200 M€ en 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Turismo y viajes: superávit de unos </w:t>
      </w:r>
      <w:r>
        <w:rPr>
          <w:rFonts w:ascii="Cambria" w:hAnsi="Cambria" w:cs="Cambria" w:eastAsia="Cambria"/>
          <w:b/>
          <w:sz w:val="22"/>
        </w:rPr>
        <w:t>70.300 M€</w:t>
      </w:r>
      <w:r>
        <w:rPr>
          <w:rFonts w:ascii="Cambria" w:hAnsi="Cambria" w:cs="Cambria" w:eastAsia="Cambria"/>
          <w:sz w:val="22"/>
        </w:rPr>
        <w:t xml:space="preserve"> (68.200 M€ en 2024), ingresos de unos </w:t>
      </w:r>
      <w:r>
        <w:rPr>
          <w:rFonts w:ascii="Cambria" w:hAnsi="Cambria" w:cs="Cambria" w:eastAsia="Cambria"/>
          <w:b/>
          <w:sz w:val="22"/>
        </w:rPr>
        <w:t>105.200 M€</w:t>
      </w:r>
      <w:r>
        <w:rPr>
          <w:rFonts w:ascii="Cambria" w:hAnsi="Cambria" w:cs="Cambria" w:eastAsia="Cambria"/>
          <w:sz w:val="22"/>
        </w:rPr>
        <w:t xml:space="preserve"> (98.400 M€ en 2024)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Servicios no turísticos: superávit en torno al </w:t>
      </w:r>
      <w:r>
        <w:rPr>
          <w:rFonts w:ascii="Cambria" w:hAnsi="Cambria" w:cs="Cambria" w:eastAsia="Cambria"/>
          <w:b/>
          <w:sz w:val="22"/>
        </w:rPr>
        <w:t>2,6 % del PIB</w:t>
      </w:r>
      <w:r>
        <w:rPr>
          <w:rFonts w:ascii="Cambria" w:hAnsi="Cambria" w:cs="Cambria" w:eastAsia="Cambria"/>
          <w:sz w:val="22"/>
        </w:rPr>
        <w:t xml:space="preserve"> (2,0 % en 2024), servicios empresariales y TIC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Cuenta corriente 2025: superávit de </w:t>
      </w:r>
      <w:r>
        <w:rPr>
          <w:rFonts w:ascii="Cambria" w:hAnsi="Cambria" w:cs="Cambria" w:eastAsia="Cambria"/>
          <w:b/>
          <w:sz w:val="22"/>
        </w:rPr>
        <w:t>49.400 M€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2,9 % del PIB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Destinos principales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Exportaciones de mercancías</w:t>
      </w:r>
      <w:r>
        <w:rPr>
          <w:rFonts w:ascii="Cambria" w:hAnsi="Cambria" w:cs="Cambria" w:eastAsia="Cambria"/>
          <w:sz w:val="22"/>
        </w:rPr>
        <w:t xml:space="preserve">: la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 absorbe el </w:t>
      </w:r>
      <w:r>
        <w:rPr>
          <w:rFonts w:ascii="Cambria" w:hAnsi="Cambria" w:cs="Cambria" w:eastAsia="Cambria"/>
          <w:b/>
          <w:sz w:val="22"/>
        </w:rPr>
        <w:t>61,8 %</w:t>
      </w:r>
      <w:r>
        <w:rPr>
          <w:rFonts w:ascii="Cambria" w:hAnsi="Cambria" w:cs="Cambria" w:eastAsia="Cambria"/>
          <w:sz w:val="22"/>
        </w:rPr>
        <w:t xml:space="preserve"> (zona euro </w:t>
      </w:r>
      <w:r>
        <w:rPr>
          <w:rFonts w:ascii="Cambria" w:hAnsi="Cambria" w:cs="Cambria" w:eastAsia="Cambria"/>
          <w:b/>
          <w:sz w:val="22"/>
        </w:rPr>
        <w:t>53,2 %</w:t>
      </w:r>
      <w:r>
        <w:rPr>
          <w:rFonts w:ascii="Cambria" w:hAnsi="Cambria" w:cs="Cambria" w:eastAsia="Cambria"/>
          <w:sz w:val="22"/>
        </w:rPr>
        <w:t>), +0,6 %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Países: Francia </w:t>
      </w:r>
      <w:r>
        <w:rPr>
          <w:rFonts w:ascii="Cambria" w:hAnsi="Cambria" w:cs="Cambria" w:eastAsia="Cambria"/>
          <w:b/>
          <w:sz w:val="22"/>
        </w:rPr>
        <w:t>14,4 %</w:t>
      </w:r>
      <w:r>
        <w:rPr>
          <w:rFonts w:ascii="Cambria" w:hAnsi="Cambria" w:cs="Cambria" w:eastAsia="Cambria"/>
          <w:sz w:val="22"/>
        </w:rPr>
        <w:t xml:space="preserve">, Alemania </w:t>
      </w:r>
      <w:r>
        <w:rPr>
          <w:rFonts w:ascii="Cambria" w:hAnsi="Cambria" w:cs="Cambria" w:eastAsia="Cambria"/>
          <w:b/>
          <w:sz w:val="22"/>
        </w:rPr>
        <w:t>10,2 %</w:t>
      </w:r>
      <w:r>
        <w:rPr>
          <w:rFonts w:ascii="Cambria" w:hAnsi="Cambria" w:cs="Cambria" w:eastAsia="Cambria"/>
          <w:sz w:val="22"/>
        </w:rPr>
        <w:t xml:space="preserve">, Portugal </w:t>
      </w:r>
      <w:r>
        <w:rPr>
          <w:rFonts w:ascii="Cambria" w:hAnsi="Cambria" w:cs="Cambria" w:eastAsia="Cambria"/>
          <w:b/>
          <w:sz w:val="22"/>
        </w:rPr>
        <w:t>8,8 %</w:t>
      </w:r>
      <w:r>
        <w:rPr>
          <w:rFonts w:ascii="Cambria" w:hAnsi="Cambria" w:cs="Cambria" w:eastAsia="Cambria"/>
          <w:sz w:val="22"/>
        </w:rPr>
        <w:t xml:space="preserve">, Italia </w:t>
      </w:r>
      <w:r>
        <w:rPr>
          <w:rFonts w:ascii="Cambria" w:hAnsi="Cambria" w:cs="Cambria" w:eastAsia="Cambria"/>
          <w:b/>
          <w:sz w:val="22"/>
        </w:rPr>
        <w:t>8,2 %</w:t>
      </w:r>
      <w:r>
        <w:rPr>
          <w:rFonts w:ascii="Cambria" w:hAnsi="Cambria" w:cs="Cambria" w:eastAsia="Cambria"/>
          <w:sz w:val="22"/>
        </w:rPr>
        <w:t xml:space="preserve">, Reino Unido </w:t>
      </w:r>
      <w:r>
        <w:rPr>
          <w:rFonts w:ascii="Cambria" w:hAnsi="Cambria" w:cs="Cambria" w:eastAsia="Cambria"/>
          <w:b/>
          <w:sz w:val="22"/>
        </w:rPr>
        <w:t>6,4 %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Fuera de la UE: </w:t>
      </w:r>
      <w:r>
        <w:rPr>
          <w:rFonts w:ascii="Cambria" w:hAnsi="Cambria" w:cs="Cambria" w:eastAsia="Cambria"/>
          <w:b/>
          <w:sz w:val="22"/>
        </w:rPr>
        <w:t>38,2 %</w:t>
      </w:r>
      <w:r>
        <w:rPr>
          <w:rFonts w:ascii="Cambria" w:hAnsi="Cambria" w:cs="Cambria" w:eastAsia="Cambria"/>
          <w:sz w:val="22"/>
        </w:rPr>
        <w:t xml:space="preserve">, diversificación acelerada tras el </w:t>
      </w:r>
      <w:r>
        <w:rPr>
          <w:rFonts w:ascii="Cambria" w:hAnsi="Cambria" w:cs="Cambria" w:eastAsia="Cambria"/>
          <w:b/>
          <w:sz w:val="22"/>
        </w:rPr>
        <w:t>Brexit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Crecen Oriente Medio (+7,7 %), África (+6,2 %) y Asia sin Oriente Medio (+1,8 %)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Caen América del Norte (-6,6 %) y América Latina (-6,0 %)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Apoyo institucional: </w:t>
      </w:r>
      <w:r>
        <w:rPr>
          <w:rFonts w:ascii="Cambria" w:hAnsi="Cambria" w:cs="Cambria" w:eastAsia="Cambria"/>
          <w:b/>
          <w:sz w:val="22"/>
        </w:rPr>
        <w:t>Secretaría de Estado de Comercio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 xml:space="preserve">, en la </w:t>
      </w:r>
      <w:r>
        <w:rPr>
          <w:rFonts w:ascii="Cambria" w:hAnsi="Cambria" w:cs="Cambria" w:eastAsia="Cambria"/>
          <w:b/>
          <w:sz w:val="22"/>
        </w:rPr>
        <w:t>Estrategia de Internacionalización de la Economía Española</w:t>
      </w:r>
      <w:r>
        <w:rPr>
          <w:rFonts w:ascii="Cambria" w:hAnsi="Cambria" w:cs="Cambria" w:eastAsia="Cambria"/>
          <w:sz w:val="22"/>
        </w:rPr>
        <w:t xml:space="preserve"> y sus planes de acción bienales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 los </w:t>
      </w:r>
      <w:r>
        <w:rPr>
          <w:rFonts w:ascii="Cambria" w:hAnsi="Cambria" w:cs="Cambria" w:eastAsia="Cambria"/>
          <w:b/>
          <w:sz w:val="22"/>
        </w:rPr>
        <w:t>PIDM</w:t>
      </w:r>
      <w:r>
        <w:rPr>
          <w:rFonts w:ascii="Cambria" w:hAnsi="Cambria" w:cs="Cambria" w:eastAsia="Cambria"/>
          <w:sz w:val="22"/>
        </w:rPr>
        <w:t xml:space="preserve"> a la estrategia </w:t>
      </w:r>
      <w:r>
        <w:rPr>
          <w:rFonts w:ascii="Cambria" w:hAnsi="Cambria" w:cs="Cambria" w:eastAsia="Cambria"/>
          <w:b/>
          <w:sz w:val="22"/>
        </w:rPr>
        <w:t>PASE</w:t>
      </w:r>
      <w:r>
        <w:rPr>
          <w:rFonts w:ascii="Cambria" w:hAnsi="Cambria" w:cs="Cambria" w:eastAsia="Cambria"/>
          <w:sz w:val="22"/>
        </w:rPr>
        <w:t xml:space="preserve"> (Países con Actuación Sectorial Estratégica): EEUU, China, México, Corea del Sur, India, Marruecos, Canadá, Japón, Brasil, Turquía, Rusia y Sudáfrica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Importaciones de mercancías</w:t>
      </w:r>
      <w:r>
        <w:rPr>
          <w:rFonts w:ascii="Cambria" w:hAnsi="Cambria" w:cs="Cambria" w:eastAsia="Cambria"/>
          <w:sz w:val="22"/>
        </w:rPr>
        <w:t xml:space="preserve">: la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 es el origen del </w:t>
      </w:r>
      <w:r>
        <w:rPr>
          <w:rFonts w:ascii="Cambria" w:hAnsi="Cambria" w:cs="Cambria" w:eastAsia="Cambria"/>
          <w:b/>
          <w:sz w:val="22"/>
        </w:rPr>
        <w:t>49,4 %</w:t>
      </w:r>
      <w:r>
        <w:rPr>
          <w:rFonts w:ascii="Cambria" w:hAnsi="Cambria" w:cs="Cambria" w:eastAsia="Cambria"/>
          <w:sz w:val="22"/>
        </w:rPr>
        <w:t xml:space="preserve"> (zona euro </w:t>
      </w:r>
      <w:r>
        <w:rPr>
          <w:rFonts w:ascii="Cambria" w:hAnsi="Cambria" w:cs="Cambria" w:eastAsia="Cambria"/>
          <w:b/>
          <w:sz w:val="22"/>
        </w:rPr>
        <w:t>42,1 %</w:t>
      </w:r>
      <w:r>
        <w:rPr>
          <w:rFonts w:ascii="Cambria" w:hAnsi="Cambria" w:cs="Cambria" w:eastAsia="Cambria"/>
          <w:sz w:val="22"/>
        </w:rPr>
        <w:t>), +5,7 %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Proveedores: Alemania </w:t>
      </w:r>
      <w:r>
        <w:rPr>
          <w:rFonts w:ascii="Cambria" w:hAnsi="Cambria" w:cs="Cambria" w:eastAsia="Cambria"/>
          <w:b/>
          <w:sz w:val="22"/>
        </w:rPr>
        <w:t>11,4 %</w:t>
      </w:r>
      <w:r>
        <w:rPr>
          <w:rFonts w:ascii="Cambria" w:hAnsi="Cambria" w:cs="Cambria" w:eastAsia="Cambria"/>
          <w:sz w:val="22"/>
        </w:rPr>
        <w:t xml:space="preserve">, China </w:t>
      </w:r>
      <w:r>
        <w:rPr>
          <w:rFonts w:ascii="Cambria" w:hAnsi="Cambria" w:cs="Cambria" w:eastAsia="Cambria"/>
          <w:b/>
          <w:sz w:val="22"/>
        </w:rPr>
        <w:t>11,3 %</w:t>
      </w:r>
      <w:r>
        <w:rPr>
          <w:rFonts w:ascii="Cambria" w:hAnsi="Cambria" w:cs="Cambria" w:eastAsia="Cambria"/>
          <w:sz w:val="22"/>
        </w:rPr>
        <w:t xml:space="preserve">, Francia </w:t>
      </w:r>
      <w:r>
        <w:rPr>
          <w:rFonts w:ascii="Cambria" w:hAnsi="Cambria" w:cs="Cambria" w:eastAsia="Cambria"/>
          <w:b/>
          <w:sz w:val="22"/>
        </w:rPr>
        <w:t>8,7 %</w:t>
      </w:r>
      <w:r>
        <w:rPr>
          <w:rFonts w:ascii="Cambria" w:hAnsi="Cambria" w:cs="Cambria" w:eastAsia="Cambria"/>
          <w:sz w:val="22"/>
        </w:rPr>
        <w:t xml:space="preserve">, Italia </w:t>
      </w:r>
      <w:r>
        <w:rPr>
          <w:rFonts w:ascii="Cambria" w:hAnsi="Cambria" w:cs="Cambria" w:eastAsia="Cambria"/>
          <w:b/>
          <w:sz w:val="22"/>
        </w:rPr>
        <w:t>7,2 %</w:t>
      </w:r>
      <w:r>
        <w:rPr>
          <w:rFonts w:ascii="Cambria" w:hAnsi="Cambria" w:cs="Cambria" w:eastAsia="Cambria"/>
          <w:sz w:val="22"/>
        </w:rPr>
        <w:t xml:space="preserve">, EEUU </w:t>
      </w:r>
      <w:r>
        <w:rPr>
          <w:rFonts w:ascii="Cambria" w:hAnsi="Cambria" w:cs="Cambria" w:eastAsia="Cambria"/>
          <w:b/>
          <w:sz w:val="22"/>
        </w:rPr>
        <w:t>6,8 %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Por áreas: Asia </w:t>
      </w:r>
      <w:r>
        <w:rPr>
          <w:rFonts w:ascii="Cambria" w:hAnsi="Cambria" w:cs="Cambria" w:eastAsia="Cambria"/>
          <w:b/>
          <w:sz w:val="22"/>
        </w:rPr>
        <w:t>22,3 %</w:t>
      </w:r>
      <w:r>
        <w:rPr>
          <w:rFonts w:ascii="Cambria" w:hAnsi="Cambria" w:cs="Cambria" w:eastAsia="Cambria"/>
          <w:sz w:val="22"/>
        </w:rPr>
        <w:t xml:space="preserve"> (+7,7 %), América </w:t>
      </w:r>
      <w:r>
        <w:rPr>
          <w:rFonts w:ascii="Cambria" w:hAnsi="Cambria" w:cs="Cambria" w:eastAsia="Cambria"/>
          <w:b/>
          <w:sz w:val="22"/>
        </w:rPr>
        <w:t>13,0 %</w:t>
      </w:r>
      <w:r>
        <w:rPr>
          <w:rFonts w:ascii="Cambria" w:hAnsi="Cambria" w:cs="Cambria" w:eastAsia="Cambria"/>
          <w:sz w:val="22"/>
        </w:rPr>
        <w:t xml:space="preserve"> (+1,9 %), África </w:t>
      </w:r>
      <w:r>
        <w:rPr>
          <w:rFonts w:ascii="Cambria" w:hAnsi="Cambria" w:cs="Cambria" w:eastAsia="Cambria"/>
          <w:b/>
          <w:sz w:val="22"/>
        </w:rPr>
        <w:t>7,9 %</w:t>
      </w:r>
      <w:r>
        <w:rPr>
          <w:rFonts w:ascii="Cambria" w:hAnsi="Cambria" w:cs="Cambria" w:eastAsia="Cambria"/>
          <w:sz w:val="22"/>
        </w:rPr>
        <w:t xml:space="preserve"> (+0,5 %)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Saldo por áreas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Superávit con la UE desde </w:t>
      </w:r>
      <w:r>
        <w:rPr>
          <w:rFonts w:ascii="Cambria" w:hAnsi="Cambria" w:cs="Cambria" w:eastAsia="Cambria"/>
          <w:b/>
          <w:sz w:val="22"/>
        </w:rPr>
        <w:t>2011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19.761,9 M€</w:t>
      </w:r>
      <w:r>
        <w:rPr>
          <w:rFonts w:ascii="Cambria" w:hAnsi="Cambria" w:cs="Cambria" w:eastAsia="Cambria"/>
          <w:sz w:val="22"/>
        </w:rPr>
        <w:t xml:space="preserve"> en 2025 (</w:t>
      </w:r>
      <w:r>
        <w:rPr>
          <w:rFonts w:ascii="Cambria" w:hAnsi="Cambria" w:cs="Cambria" w:eastAsia="Cambria"/>
          <w:b/>
          <w:sz w:val="22"/>
        </w:rPr>
        <w:t>30.285,4 M€</w:t>
      </w:r>
      <w:r>
        <w:rPr>
          <w:rFonts w:ascii="Cambria" w:hAnsi="Cambria" w:cs="Cambria" w:eastAsia="Cambria"/>
          <w:sz w:val="22"/>
        </w:rPr>
        <w:t xml:space="preserve"> en 2024), zona euro </w:t>
      </w:r>
      <w:r>
        <w:rPr>
          <w:rFonts w:ascii="Cambria" w:hAnsi="Cambria" w:cs="Cambria" w:eastAsia="Cambria"/>
          <w:b/>
          <w:sz w:val="22"/>
        </w:rPr>
        <w:t>19.136,5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Superávit con Francia (</w:t>
      </w:r>
      <w:r>
        <w:rPr>
          <w:rFonts w:ascii="Cambria" w:hAnsi="Cambria" w:cs="Cambria" w:eastAsia="Cambria"/>
          <w:b/>
          <w:sz w:val="22"/>
        </w:rPr>
        <w:t>17.341,6 M€</w:t>
      </w:r>
      <w:r>
        <w:rPr>
          <w:rFonts w:ascii="Cambria" w:hAnsi="Cambria" w:cs="Cambria" w:eastAsia="Cambria"/>
          <w:sz w:val="22"/>
        </w:rPr>
        <w:t>), Portugal (</w:t>
      </w:r>
      <w:r>
        <w:rPr>
          <w:rFonts w:ascii="Cambria" w:hAnsi="Cambria" w:cs="Cambria" w:eastAsia="Cambria"/>
          <w:b/>
          <w:sz w:val="22"/>
        </w:rPr>
        <w:t>17.380,1 M€</w:t>
      </w:r>
      <w:r>
        <w:rPr>
          <w:rFonts w:ascii="Cambria" w:hAnsi="Cambria" w:cs="Cambria" w:eastAsia="Cambria"/>
          <w:sz w:val="22"/>
        </w:rPr>
        <w:t>) y Reino Unido (</w:t>
      </w:r>
      <w:r>
        <w:rPr>
          <w:rFonts w:ascii="Cambria" w:hAnsi="Cambria" w:cs="Cambria" w:eastAsia="Cambria"/>
          <w:b/>
          <w:sz w:val="22"/>
        </w:rPr>
        <w:t>14.164,8 M€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Déficit con Alemania (</w:t>
      </w:r>
      <w:r>
        <w:rPr>
          <w:rFonts w:ascii="Cambria" w:hAnsi="Cambria" w:cs="Cambria" w:eastAsia="Cambria"/>
          <w:b/>
          <w:sz w:val="22"/>
        </w:rPr>
        <w:t>-10.954,4 M€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Déficit con Asia: </w:t>
      </w:r>
      <w:r>
        <w:rPr>
          <w:rFonts w:ascii="Cambria" w:hAnsi="Cambria" w:cs="Cambria" w:eastAsia="Cambria"/>
          <w:b/>
          <w:sz w:val="22"/>
        </w:rPr>
        <w:t>-67.591,7 M€</w:t>
      </w:r>
      <w:r>
        <w:rPr>
          <w:rFonts w:ascii="Cambria" w:hAnsi="Cambria" w:cs="Cambria" w:eastAsia="Cambria"/>
          <w:sz w:val="22"/>
        </w:rPr>
        <w:t>, casi todo con China (</w:t>
      </w:r>
      <w:r>
        <w:rPr>
          <w:rFonts w:ascii="Cambria" w:hAnsi="Cambria" w:cs="Cambria" w:eastAsia="Cambria"/>
          <w:b/>
          <w:sz w:val="22"/>
        </w:rPr>
        <w:t>-42.278,0 M€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Déficit con América (</w:t>
      </w:r>
      <w:r>
        <w:rPr>
          <w:rFonts w:ascii="Cambria" w:hAnsi="Cambria" w:cs="Cambria" w:eastAsia="Cambria"/>
          <w:b/>
          <w:sz w:val="22"/>
        </w:rPr>
        <w:t>-19.469,3 M€</w:t>
      </w:r>
      <w:r>
        <w:rPr>
          <w:rFonts w:ascii="Cambria" w:hAnsi="Cambria" w:cs="Cambria" w:eastAsia="Cambria"/>
          <w:sz w:val="22"/>
        </w:rPr>
        <w:t>) y África (</w:t>
      </w:r>
      <w:r>
        <w:rPr>
          <w:rFonts w:ascii="Cambria" w:hAnsi="Cambria" w:cs="Cambria" w:eastAsia="Cambria"/>
          <w:b/>
          <w:sz w:val="22"/>
        </w:rPr>
        <w:t>-12.523,9 M€</w:t>
      </w:r>
      <w:r>
        <w:rPr>
          <w:rFonts w:ascii="Cambria" w:hAnsi="Cambria" w:cs="Cambria" w:eastAsia="Cambria"/>
          <w:sz w:val="22"/>
        </w:rPr>
        <w:t>), superávit con Oceanía (</w:t>
      </w:r>
      <w:r>
        <w:rPr>
          <w:rFonts w:ascii="Cambria" w:hAnsi="Cambria" w:cs="Cambria" w:eastAsia="Cambria"/>
          <w:b/>
          <w:sz w:val="22"/>
        </w:rPr>
        <w:t>+1.400,7 M€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Servicios por áreas</w:t>
      </w:r>
      <w:r>
        <w:rPr>
          <w:rFonts w:ascii="Cambria" w:hAnsi="Cambria" w:cs="Cambria" w:eastAsia="Cambria"/>
          <w:sz w:val="22"/>
        </w:rPr>
        <w:t xml:space="preserve"> (Banco de España)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La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 es el principal destino de los servicios no turísticos, y 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 gana peso como mercado extracomunitario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2025: ingresos de </w:t>
      </w:r>
      <w:r>
        <w:rPr>
          <w:rFonts w:ascii="Cambria" w:hAnsi="Cambria" w:cs="Cambria" w:eastAsia="Cambria"/>
          <w:b/>
          <w:sz w:val="22"/>
        </w:rPr>
        <w:t>225.307 M€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13,3 % del PIB</w:t>
      </w:r>
      <w:r>
        <w:rPr>
          <w:rFonts w:ascii="Cambria" w:hAnsi="Cambria" w:cs="Cambria" w:eastAsia="Cambria"/>
          <w:sz w:val="22"/>
        </w:rPr>
        <w:t xml:space="preserve">), turísticos </w:t>
      </w:r>
      <w:r>
        <w:rPr>
          <w:rFonts w:ascii="Cambria" w:hAnsi="Cambria" w:cs="Cambria" w:eastAsia="Cambria"/>
          <w:b/>
          <w:sz w:val="22"/>
        </w:rPr>
        <w:t>105.200 M€</w:t>
      </w:r>
      <w:r>
        <w:rPr>
          <w:rFonts w:ascii="Cambria" w:hAnsi="Cambria" w:cs="Cambria" w:eastAsia="Cambria"/>
          <w:sz w:val="22"/>
        </w:rPr>
        <w:t xml:space="preserve"> (6,2 %), no turísticos unos </w:t>
      </w:r>
      <w:r>
        <w:rPr>
          <w:rFonts w:ascii="Cambria" w:hAnsi="Cambria" w:cs="Cambria" w:eastAsia="Cambria"/>
          <w:b/>
          <w:sz w:val="22"/>
        </w:rPr>
        <w:t>120.100 M€</w:t>
      </w:r>
      <w:r>
        <w:rPr>
          <w:rFonts w:ascii="Cambria" w:hAnsi="Cambria" w:cs="Cambria" w:eastAsia="Cambria"/>
          <w:sz w:val="22"/>
        </w:rPr>
        <w:t xml:space="preserve"> (7,1 %)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Los no turísticos superan por primera vez a los turísticos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Pagos: </w:t>
      </w:r>
      <w:r>
        <w:rPr>
          <w:rFonts w:ascii="Cambria" w:hAnsi="Cambria" w:cs="Cambria" w:eastAsia="Cambria"/>
          <w:b/>
          <w:sz w:val="22"/>
        </w:rPr>
        <w:t>111.828 M€</w:t>
      </w:r>
      <w:r>
        <w:rPr>
          <w:rFonts w:ascii="Cambria" w:hAnsi="Cambria" w:cs="Cambria" w:eastAsia="Cambria"/>
          <w:sz w:val="22"/>
        </w:rPr>
        <w:t xml:space="preserve">, saldo de </w:t>
      </w:r>
      <w:r>
        <w:rPr>
          <w:rFonts w:ascii="Cambria" w:hAnsi="Cambria" w:cs="Cambria" w:eastAsia="Cambria"/>
          <w:b/>
          <w:sz w:val="22"/>
        </w:rPr>
        <w:t>113.479 M€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6,7 % del PIB</w:t>
      </w:r>
      <w:r>
        <w:rPr>
          <w:rFonts w:ascii="Cambria" w:hAnsi="Cambria" w:cs="Cambria" w:eastAsia="Cambria"/>
          <w:sz w:val="22"/>
        </w:rPr>
        <w:t>), máximo histórico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Destinos de exportación: Reino Unido (</w:t>
      </w:r>
      <w:r>
        <w:rPr>
          <w:rFonts w:ascii="Cambria" w:hAnsi="Cambria" w:cs="Cambria" w:eastAsia="Cambria"/>
          <w:b/>
          <w:sz w:val="22"/>
        </w:rPr>
        <w:t>30.212 M€</w:t>
      </w:r>
      <w:r>
        <w:rPr>
          <w:rFonts w:ascii="Cambria" w:hAnsi="Cambria" w:cs="Cambria" w:eastAsia="Cambria"/>
          <w:sz w:val="22"/>
        </w:rPr>
        <w:t>, 13,4 %), Francia (</w:t>
      </w:r>
      <w:r>
        <w:rPr>
          <w:rFonts w:ascii="Cambria" w:hAnsi="Cambria" w:cs="Cambria" w:eastAsia="Cambria"/>
          <w:b/>
          <w:sz w:val="22"/>
        </w:rPr>
        <w:t>24.912 M€</w:t>
      </w:r>
      <w:r>
        <w:rPr>
          <w:rFonts w:ascii="Cambria" w:hAnsi="Cambria" w:cs="Cambria" w:eastAsia="Cambria"/>
          <w:sz w:val="22"/>
        </w:rPr>
        <w:t>, 11,1 %), Alemania (</w:t>
      </w:r>
      <w:r>
        <w:rPr>
          <w:rFonts w:ascii="Cambria" w:hAnsi="Cambria" w:cs="Cambria" w:eastAsia="Cambria"/>
          <w:b/>
          <w:sz w:val="22"/>
        </w:rPr>
        <w:t>23.715 M€</w:t>
      </w:r>
      <w:r>
        <w:rPr>
          <w:rFonts w:ascii="Cambria" w:hAnsi="Cambria" w:cs="Cambria" w:eastAsia="Cambria"/>
          <w:sz w:val="22"/>
        </w:rPr>
        <w:t>, 10,5 %), EEUU cuarto (</w:t>
      </w:r>
      <w:r>
        <w:rPr>
          <w:rFonts w:ascii="Cambria" w:hAnsi="Cambria" w:cs="Cambria" w:eastAsia="Cambria"/>
          <w:b/>
          <w:sz w:val="22"/>
        </w:rPr>
        <w:t>20.144 M€</w:t>
      </w:r>
      <w:r>
        <w:rPr>
          <w:rFonts w:ascii="Cambria" w:hAnsi="Cambria" w:cs="Cambria" w:eastAsia="Cambria"/>
          <w:sz w:val="22"/>
        </w:rPr>
        <w:t>, 8,9 %)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Orígenes de importación: Francia (</w:t>
      </w:r>
      <w:r>
        <w:rPr>
          <w:rFonts w:ascii="Cambria" w:hAnsi="Cambria" w:cs="Cambria" w:eastAsia="Cambria"/>
          <w:b/>
          <w:sz w:val="22"/>
        </w:rPr>
        <w:t>13.897 M€</w:t>
      </w:r>
      <w:r>
        <w:rPr>
          <w:rFonts w:ascii="Cambria" w:hAnsi="Cambria" w:cs="Cambria" w:eastAsia="Cambria"/>
          <w:sz w:val="22"/>
        </w:rPr>
        <w:t>, 12,4 %), Alemania (</w:t>
      </w:r>
      <w:r>
        <w:rPr>
          <w:rFonts w:ascii="Cambria" w:hAnsi="Cambria" w:cs="Cambria" w:eastAsia="Cambria"/>
          <w:b/>
          <w:sz w:val="22"/>
        </w:rPr>
        <w:t>10.494 M€</w:t>
      </w:r>
      <w:r>
        <w:rPr>
          <w:rFonts w:ascii="Cambria" w:hAnsi="Cambria" w:cs="Cambria" w:eastAsia="Cambria"/>
          <w:sz w:val="22"/>
        </w:rPr>
        <w:t>, 9,4 %), Reino Unido (</w:t>
      </w:r>
      <w:r>
        <w:rPr>
          <w:rFonts w:ascii="Cambria" w:hAnsi="Cambria" w:cs="Cambria" w:eastAsia="Cambria"/>
          <w:b/>
          <w:sz w:val="22"/>
        </w:rPr>
        <w:t>9.593 M€</w:t>
      </w:r>
      <w:r>
        <w:rPr>
          <w:rFonts w:ascii="Cambria" w:hAnsi="Cambria" w:cs="Cambria" w:eastAsia="Cambria"/>
          <w:sz w:val="22"/>
        </w:rPr>
        <w:t>, 8,6 %), EEUU (</w:t>
      </w:r>
      <w:r>
        <w:rPr>
          <w:rFonts w:ascii="Cambria" w:hAnsi="Cambria" w:cs="Cambria" w:eastAsia="Cambria"/>
          <w:b/>
          <w:sz w:val="22"/>
        </w:rPr>
        <w:t>8.126 M€</w:t>
      </w:r>
      <w:r>
        <w:rPr>
          <w:rFonts w:ascii="Cambria" w:hAnsi="Cambria" w:cs="Cambria" w:eastAsia="Cambria"/>
          <w:sz w:val="22"/>
        </w:rPr>
        <w:t>, 7,3 %), Irlanda (</w:t>
      </w:r>
      <w:r>
        <w:rPr>
          <w:rFonts w:ascii="Cambria" w:hAnsi="Cambria" w:cs="Cambria" w:eastAsia="Cambria"/>
          <w:b/>
          <w:sz w:val="22"/>
        </w:rPr>
        <w:t>7.740 M€</w:t>
      </w:r>
      <w:r>
        <w:rPr>
          <w:rFonts w:ascii="Cambria" w:hAnsi="Cambria" w:cs="Cambria" w:eastAsia="Cambria"/>
          <w:sz w:val="22"/>
        </w:rPr>
        <w:t>, 6,9 %) por servicios digitales de las grandes tecnológicas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Servicios más dinámicos: técnicos, telecomunicaciones e informática, empresariales y consultoría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Perspectivas futuras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Mercados emergentes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BRICS</w:t>
      </w:r>
      <w:r>
        <w:rPr>
          <w:rFonts w:ascii="Cambria" w:hAnsi="Cambria" w:cs="Cambria" w:eastAsia="Cambria"/>
          <w:sz w:val="22"/>
        </w:rPr>
        <w:t xml:space="preserve"> ampliados, gran peso en población, superficie y PIB mundiales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Mercados objetivo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China</w:t>
      </w:r>
      <w:r>
        <w:rPr>
          <w:rFonts w:ascii="Cambria" w:hAnsi="Cambria" w:cs="Cambria" w:eastAsia="Cambria"/>
          <w:sz w:val="22"/>
        </w:rPr>
        <w:t>: segunda economía mundial, pero principal origen del déficit, exige diversificar sectorialmente las exportaciones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India</w:t>
      </w:r>
      <w:r>
        <w:rPr>
          <w:rFonts w:ascii="Cambria" w:hAnsi="Cambria" w:cs="Cambria" w:eastAsia="Cambria"/>
          <w:sz w:val="22"/>
        </w:rPr>
        <w:t xml:space="preserve">: segundo país más poblado, iniciativa </w:t>
      </w:r>
      <w:r>
        <w:rPr>
          <w:rFonts w:ascii="Cambria" w:hAnsi="Cambria" w:cs="Cambria" w:eastAsia="Cambria"/>
          <w:b/>
          <w:sz w:val="22"/>
        </w:rPr>
        <w:t>Make in India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Brasil</w:t>
      </w:r>
      <w:r>
        <w:rPr>
          <w:rFonts w:ascii="Cambria" w:hAnsi="Cambria" w:cs="Cambria" w:eastAsia="Cambria"/>
          <w:sz w:val="22"/>
        </w:rPr>
        <w:t>: recursos naturales y potencial en infraestructuras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Estrategia </w:t>
      </w:r>
      <w:r>
        <w:rPr>
          <w:rFonts w:ascii="Cambria" w:hAnsi="Cambria" w:cs="Cambria" w:eastAsia="Cambria"/>
          <w:b/>
          <w:sz w:val="22"/>
        </w:rPr>
        <w:t>PASE</w:t>
      </w:r>
      <w:r>
        <w:rPr>
          <w:rFonts w:ascii="Cambria" w:hAnsi="Cambria" w:cs="Cambria" w:eastAsia="Cambria"/>
          <w:sz w:val="22"/>
        </w:rPr>
        <w:t>: México, Corea del Sur, Marruecos, Canadá, Japón, Turquía, Rusia y Sudáfrica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N-11</w:t>
      </w:r>
      <w:r>
        <w:rPr>
          <w:rFonts w:ascii="Cambria" w:hAnsi="Cambria" w:cs="Cambria" w:eastAsia="Cambria"/>
          <w:sz w:val="22"/>
        </w:rPr>
        <w:t>: Bangladesh, Corea del Sur, Egipto, Filipinas, Indonesia, Irán, México, Nigeria, Pakistán, Turquía y Vietnam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de éxito</w:t>
      </w:r>
      <w:r>
        <w:rPr>
          <w:rFonts w:ascii="Cambria" w:hAnsi="Cambria" w:cs="Cambria" w:eastAsia="Cambria"/>
          <w:sz w:val="22"/>
        </w:rPr>
        <w:t>: mentalidad exportadora, barreras lingüísticas y culturales, conocimiento del mercado y distancia como coste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Importaciones</w:t>
      </w:r>
      <w:r>
        <w:rPr>
          <w:rFonts w:ascii="Cambria" w:hAnsi="Cambria" w:cs="Cambria" w:eastAsia="Cambria"/>
          <w:sz w:val="22"/>
        </w:rPr>
        <w:t>: dependencia energética y penetración de productos asiáticos de tecnología media y alta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Contexto desde 2025: </w:t>
      </w:r>
      <w:r>
        <w:rPr>
          <w:rFonts w:ascii="Cambria" w:hAnsi="Cambria" w:cs="Cambria" w:eastAsia="Cambria"/>
          <w:b/>
          <w:sz w:val="22"/>
        </w:rPr>
        <w:t>proteccionismo arancelario</w:t>
      </w:r>
      <w:r>
        <w:rPr>
          <w:rFonts w:ascii="Cambria" w:hAnsi="Cambria" w:cs="Cambria" w:eastAsia="Cambria"/>
          <w:sz w:val="22"/>
        </w:rPr>
        <w:t xml:space="preserve"> e incertidumbre sobre los acuerdos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Futuro</w:t>
      </w:r>
      <w:r>
        <w:rPr>
          <w:rFonts w:ascii="Cambria" w:hAnsi="Cambria" w:cs="Cambria" w:eastAsia="Cambria"/>
          <w:sz w:val="22"/>
        </w:rPr>
        <w:t xml:space="preserve">: mejorar la competitividad y orientarse a productos de </w:t>
      </w:r>
      <w:r>
        <w:rPr>
          <w:rFonts w:ascii="Cambria" w:hAnsi="Cambria" w:cs="Cambria" w:eastAsia="Cambria"/>
          <w:b/>
          <w:sz w:val="22"/>
        </w:rPr>
        <w:t>mayor valor añadido y tecnología</w:t>
      </w:r>
      <w:r>
        <w:rPr>
          <w:rFonts w:ascii="Cambria" w:hAnsi="Cambria" w:cs="Cambria" w:eastAsia="Cambria"/>
          <w:sz w:val="22"/>
        </w:rPr>
        <w:t>, en calidad y no solo en precio, aprovechando EEUU y el este asiático sin perder la UE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 comercio exterior es </w:t>
      </w:r>
      <w:r>
        <w:rPr>
          <w:rFonts w:ascii="Cambria" w:hAnsi="Cambria" w:cs="Cambria" w:eastAsia="Cambria"/>
          <w:b/>
          <w:sz w:val="22"/>
        </w:rPr>
        <w:t>motor de la economía</w:t>
      </w:r>
      <w:r>
        <w:rPr>
          <w:rFonts w:ascii="Cambria" w:hAnsi="Cambria" w:cs="Cambria" w:eastAsia="Cambria"/>
          <w:sz w:val="22"/>
        </w:rPr>
        <w:t>, apoyado en servicios (turismo) y exportaciones de mercancías sólidas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 xml:space="preserve">: déficit de mercancías de </w:t>
      </w:r>
      <w:r>
        <w:rPr>
          <w:rFonts w:ascii="Cambria" w:hAnsi="Cambria" w:cs="Cambria" w:eastAsia="Cambria"/>
          <w:b/>
          <w:sz w:val="22"/>
        </w:rPr>
        <w:t>-57.054,7 M€</w:t>
      </w:r>
      <w:r>
        <w:rPr>
          <w:rFonts w:ascii="Cambria" w:hAnsi="Cambria" w:cs="Cambria" w:eastAsia="Cambria"/>
          <w:sz w:val="22"/>
        </w:rPr>
        <w:t xml:space="preserve"> por importaciones muy superiores a las exportaciones, con demanda interna fuerte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Principal riesgo</w:t>
      </w:r>
      <w:r>
        <w:rPr>
          <w:rFonts w:ascii="Cambria" w:hAnsi="Cambria" w:cs="Cambria" w:eastAsia="Cambria"/>
          <w:sz w:val="22"/>
        </w:rPr>
        <w:t xml:space="preserve">: déficit con </w:t>
      </w:r>
      <w:r>
        <w:rPr>
          <w:rFonts w:ascii="Cambria" w:hAnsi="Cambria" w:cs="Cambria" w:eastAsia="Cambria"/>
          <w:b/>
          <w:sz w:val="22"/>
        </w:rPr>
        <w:t>Asia y China</w:t>
      </w:r>
      <w:r>
        <w:rPr>
          <w:rFonts w:ascii="Cambria" w:hAnsi="Cambria" w:cs="Cambria" w:eastAsia="Cambria"/>
          <w:sz w:val="22"/>
        </w:rPr>
        <w:t>, que en 2025 supera al déficit energético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Incertidumbre por el </w:t>
      </w:r>
      <w:r>
        <w:rPr>
          <w:rFonts w:ascii="Cambria" w:hAnsi="Cambria" w:cs="Cambria" w:eastAsia="Cambria"/>
          <w:b/>
          <w:sz w:val="22"/>
        </w:rPr>
        <w:t>proteccionismo</w:t>
      </w:r>
      <w:r>
        <w:rPr>
          <w:rFonts w:ascii="Cambria" w:hAnsi="Cambria" w:cs="Cambria" w:eastAsia="Cambria"/>
          <w:sz w:val="22"/>
        </w:rPr>
        <w:t xml:space="preserve"> y los acuerdos de la UE en negociación o ratificación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Retos</w:t>
      </w:r>
      <w:r>
        <w:rPr>
          <w:rFonts w:ascii="Cambria" w:hAnsi="Cambria" w:cs="Cambria" w:eastAsia="Cambria"/>
          <w:sz w:val="22"/>
        </w:rPr>
        <w:t xml:space="preserve">: diversificación geográfica y sectorial, competitividad no basada en precios y papel del </w:t>
      </w:r>
      <w:r>
        <w:rPr>
          <w:rFonts w:ascii="Cambria" w:hAnsi="Cambria" w:cs="Cambria" w:eastAsia="Cambria"/>
          <w:b/>
          <w:sz w:val="22"/>
        </w:rPr>
        <w:t>ICEX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 – El comercio exterior español: Principales rasgos.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 – El comercio exterior español: Principales rasgos.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