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Cambria" w:hAnsi="Cambria" w:cs="Cambria" w:eastAsia="Cambria"/>
          <w:b/>
          <w:color w:val="0F4761"/>
          <w:sz w:val="28"/>
        </w:rPr>
        <w:t>1. INTRODUCCIÓN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Instrumentos públicos de apoyo a la internacionalización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Comerciales</w:t>
      </w:r>
      <w:r>
        <w:rPr>
          <w:rFonts w:ascii="Cambria" w:hAnsi="Cambria" w:cs="Cambria" w:eastAsia="Cambria"/>
          <w:sz w:val="22"/>
        </w:rPr>
        <w:t xml:space="preserve"> de apoyo a la exportación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Fiscales</w:t>
      </w:r>
      <w:r>
        <w:rPr>
          <w:rFonts w:ascii="Cambria" w:hAnsi="Cambria" w:cs="Cambria" w:eastAsia="Cambria"/>
          <w:sz w:val="22"/>
        </w:rPr>
        <w:t xml:space="preserve"> no aduaneros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Financieros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sz w:val="22"/>
        </w:rPr>
        <w:t xml:space="preserve">Financiación comercial: </w:t>
      </w:r>
      <w:r>
        <w:rPr>
          <w:rFonts w:ascii="Cambria" w:hAnsi="Cambria" w:cs="Cambria" w:eastAsia="Cambria"/>
          <w:b/>
          <w:sz w:val="22"/>
        </w:rPr>
        <w:t>Seguro de Crédito a la Exportación (CESCE)</w:t>
      </w:r>
      <w:r>
        <w:rPr>
          <w:rFonts w:ascii="Cambria" w:hAnsi="Cambria" w:cs="Cambria" w:eastAsia="Cambria"/>
          <w:sz w:val="22"/>
        </w:rPr>
        <w:t xml:space="preserve"> y </w:t>
      </w:r>
      <w:r>
        <w:rPr>
          <w:rFonts w:ascii="Cambria" w:hAnsi="Cambria" w:cs="Cambria" w:eastAsia="Cambria"/>
          <w:b/>
          <w:sz w:val="22"/>
        </w:rPr>
        <w:t>crédito CARI-ICO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sz w:val="22"/>
        </w:rPr>
        <w:t xml:space="preserve">Financiación directa e inversión exterior: </w:t>
      </w:r>
      <w:r>
        <w:rPr>
          <w:rFonts w:ascii="Cambria" w:hAnsi="Cambria" w:cs="Cambria" w:eastAsia="Cambria"/>
          <w:b/>
          <w:sz w:val="22"/>
        </w:rPr>
        <w:t>FIEM</w:t>
      </w:r>
      <w:r>
        <w:rPr>
          <w:rFonts w:ascii="Cambria" w:hAnsi="Cambria" w:cs="Cambria" w:eastAsia="Cambria"/>
          <w:sz w:val="22"/>
        </w:rPr>
        <w:t xml:space="preserve"> y fondos de </w:t>
      </w:r>
      <w:r>
        <w:rPr>
          <w:rFonts w:ascii="Cambria" w:hAnsi="Cambria" w:cs="Cambria" w:eastAsia="Cambria"/>
          <w:b/>
          <w:sz w:val="22"/>
        </w:rPr>
        <w:t>COFIDES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FIEM</w:t>
      </w:r>
      <w:r>
        <w:rPr>
          <w:rFonts w:ascii="Cambria" w:hAnsi="Cambria" w:cs="Cambria" w:eastAsia="Cambria"/>
          <w:sz w:val="22"/>
        </w:rPr>
        <w:t>: principal instrumento financiero público de apoyo directo a la exportación y a la inversión española en el exterior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Sustituyó al </w:t>
      </w:r>
      <w:r>
        <w:rPr>
          <w:rFonts w:ascii="Cambria" w:hAnsi="Cambria" w:cs="Cambria" w:eastAsia="Cambria"/>
          <w:b/>
          <w:sz w:val="22"/>
        </w:rPr>
        <w:t>FAD</w:t>
      </w:r>
      <w:r>
        <w:rPr>
          <w:rFonts w:ascii="Cambria" w:hAnsi="Cambria" w:cs="Cambria" w:eastAsia="Cambria"/>
          <w:sz w:val="22"/>
        </w:rPr>
        <w:t xml:space="preserve"> en su vertiente de internacionalización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Absorbió la financiación de estudios de viabilidad del </w:t>
      </w:r>
      <w:r>
        <w:rPr>
          <w:rFonts w:ascii="Cambria" w:hAnsi="Cambria" w:cs="Cambria" w:eastAsia="Cambria"/>
          <w:b/>
          <w:sz w:val="22"/>
        </w:rPr>
        <w:t>FEV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FIEX</w:t>
      </w:r>
      <w:r>
        <w:rPr>
          <w:rFonts w:ascii="Cambria" w:hAnsi="Cambria" w:cs="Cambria" w:eastAsia="Cambria"/>
          <w:sz w:val="22"/>
        </w:rPr>
        <w:t xml:space="preserve"> y </w:t>
      </w:r>
      <w:r>
        <w:rPr>
          <w:rFonts w:ascii="Cambria" w:hAnsi="Cambria" w:cs="Cambria" w:eastAsia="Cambria"/>
          <w:b/>
          <w:sz w:val="22"/>
        </w:rPr>
        <w:t>FONPYME</w:t>
      </w:r>
      <w:r>
        <w:rPr>
          <w:rFonts w:ascii="Cambria" w:hAnsi="Cambria" w:cs="Cambria" w:eastAsia="Cambria"/>
          <w:sz w:val="22"/>
        </w:rPr>
        <w:t>: gestionados por COFIDES, apoyo a la inversión en el exterior</w:t>
      </w:r>
    </w:p>
    <w:p>
      <w:pPr>
        <w:pStyle w:val="Heading1"/>
      </w:pPr>
      <w:r>
        <w:rPr>
          <w:rFonts w:ascii="Cambria" w:hAnsi="Cambria" w:cs="Cambria" w:eastAsia="Cambria"/>
          <w:b/>
          <w:color w:val="0F4761"/>
          <w:sz w:val="28"/>
        </w:rPr>
        <w:t>2. ANTECEDENTES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Contexto de crisis desde </w:t>
      </w:r>
      <w:r>
        <w:rPr>
          <w:rFonts w:ascii="Cambria" w:hAnsi="Cambria" w:cs="Cambria" w:eastAsia="Cambria"/>
          <w:b/>
          <w:sz w:val="22"/>
        </w:rPr>
        <w:t>2008</w:t>
      </w:r>
      <w:r>
        <w:rPr>
          <w:rFonts w:ascii="Cambria" w:hAnsi="Cambria" w:cs="Cambria" w:eastAsia="Cambria"/>
          <w:sz w:val="22"/>
        </w:rPr>
        <w:t>: restricciones de crédito, menos financiación privada, más competencia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Ley 11/2010</w:t>
      </w:r>
      <w:r>
        <w:rPr>
          <w:rFonts w:ascii="Cambria" w:hAnsi="Cambria" w:cs="Cambria" w:eastAsia="Cambria"/>
          <w:sz w:val="22"/>
        </w:rPr>
        <w:t xml:space="preserve"> de Reforma del Sistema de Apoyo Financiero a la Internacionalización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Extingue el </w:t>
      </w:r>
      <w:r>
        <w:rPr>
          <w:rFonts w:ascii="Cambria" w:hAnsi="Cambria" w:cs="Cambria" w:eastAsia="Cambria"/>
          <w:b/>
          <w:sz w:val="22"/>
        </w:rPr>
        <w:t>FAD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Crea el </w:t>
      </w:r>
      <w:r>
        <w:rPr>
          <w:rFonts w:ascii="Cambria" w:hAnsi="Cambria" w:cs="Cambria" w:eastAsia="Cambria"/>
          <w:b/>
          <w:sz w:val="22"/>
        </w:rPr>
        <w:t>FIEM</w:t>
      </w:r>
      <w:r>
        <w:rPr>
          <w:rFonts w:ascii="Cambria" w:hAnsi="Cambria" w:cs="Cambria" w:eastAsia="Cambria"/>
          <w:sz w:val="22"/>
        </w:rPr>
        <w:t xml:space="preserve">, gestionado por la </w:t>
      </w:r>
      <w:r>
        <w:rPr>
          <w:rFonts w:ascii="Cambria" w:hAnsi="Cambria" w:cs="Cambria" w:eastAsia="Cambria"/>
          <w:b/>
          <w:sz w:val="22"/>
        </w:rPr>
        <w:t>Secretaría de Estado de Comercio</w:t>
      </w:r>
    </w:p>
    <w:p>
      <w:pPr>
        <w:pStyle w:val="Heading2"/>
      </w:pPr>
      <w:r>
        <w:rPr>
          <w:rFonts w:ascii="Cambria" w:hAnsi="Cambria" w:cs="Cambria" w:eastAsia="Cambria"/>
          <w:b/>
          <w:color w:val="0F4761"/>
          <w:sz w:val="24"/>
        </w:rPr>
        <w:t>2.1. Fondo de Ayuda al Desarrollo (FAD)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Creado por el </w:t>
      </w:r>
      <w:r>
        <w:rPr>
          <w:rFonts w:ascii="Cambria" w:hAnsi="Cambria" w:cs="Cambria" w:eastAsia="Cambria"/>
          <w:b/>
          <w:sz w:val="22"/>
        </w:rPr>
        <w:t>Real Decreto-ley 16/1976</w:t>
      </w:r>
      <w:r>
        <w:rPr>
          <w:rFonts w:ascii="Cambria" w:hAnsi="Cambria" w:cs="Cambria" w:eastAsia="Cambria"/>
          <w:sz w:val="22"/>
        </w:rPr>
        <w:t>, financiación concesional de exportaciones de bienes y servicios españoles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Doble objetivo: internacionalización y desarrollo de los países receptores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Mayoría de operaciones computaban como </w:t>
      </w:r>
      <w:r>
        <w:rPr>
          <w:rFonts w:ascii="Cambria" w:hAnsi="Cambria" w:cs="Cambria" w:eastAsia="Cambria"/>
          <w:b/>
          <w:sz w:val="22"/>
        </w:rPr>
        <w:t>AOD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Contribuciones a instituciones financieras multilaterales de desarrollo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Crédito FAD</w:t>
      </w:r>
      <w:r>
        <w:rPr>
          <w:rFonts w:ascii="Cambria" w:hAnsi="Cambria" w:cs="Cambria" w:eastAsia="Cambria"/>
          <w:sz w:val="22"/>
        </w:rPr>
        <w:t>: de Estado a Estado, largos plazos, elemento de liberalidad (concesionalidad)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Línea FEV</w:t>
      </w:r>
      <w:r>
        <w:rPr>
          <w:rFonts w:ascii="Cambria" w:hAnsi="Cambria" w:cs="Cambria" w:eastAsia="Cambria"/>
          <w:sz w:val="22"/>
        </w:rPr>
        <w:t xml:space="preserve"> (1995): estudios de viabilidad, asistencias técnicas y consultorías de empresas españolas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Tras 2010 se integra en el FIEM</w:t>
      </w:r>
    </w:p>
    <w:p>
      <w:pPr>
        <w:pStyle w:val="Heading1"/>
      </w:pPr>
      <w:r>
        <w:rPr>
          <w:rFonts w:ascii="Cambria" w:hAnsi="Cambria" w:cs="Cambria" w:eastAsia="Cambria"/>
          <w:b/>
          <w:color w:val="0F4761"/>
          <w:sz w:val="28"/>
        </w:rPr>
        <w:t>3. OBJETO Y CARACTERÍSTICAS GENERALES DEL FIEM</w:t>
      </w:r>
    </w:p>
    <w:p>
      <w:pPr>
        <w:pStyle w:val="Heading2"/>
      </w:pPr>
      <w:r>
        <w:rPr>
          <w:rFonts w:ascii="Cambria" w:hAnsi="Cambria" w:cs="Cambria" w:eastAsia="Cambria"/>
          <w:b/>
          <w:color w:val="0F4761"/>
          <w:sz w:val="24"/>
        </w:rPr>
        <w:t>3.1. Objeto del FIEM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Separa la política de internacionalización de la cooperación al desarrollo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Objetivo: incorporar empresas a la exportación y proyectar presencia estable (redes comerciales o productivas, proyectos de inversión)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Diferencias con el FAD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Más flexibilidad de modalidades: financiación reembolsable concesional o comercial, y no reembolsable en supuestos previstos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Objeto ampliado: exportación e </w:t>
      </w:r>
      <w:r>
        <w:rPr>
          <w:rFonts w:ascii="Cambria" w:hAnsi="Cambria" w:cs="Cambria" w:eastAsia="Cambria"/>
          <w:b/>
          <w:sz w:val="22"/>
        </w:rPr>
        <w:t>inversión directa</w:t>
      </w:r>
      <w:r>
        <w:rPr>
          <w:rFonts w:ascii="Cambria" w:hAnsi="Cambria" w:cs="Cambria" w:eastAsia="Cambria"/>
          <w:sz w:val="22"/>
        </w:rPr>
        <w:t xml:space="preserve"> en el exterior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Beneficiarios ampliados: Estados, Administraciones públicas, instituciones, empresas o consorcios extranjeros, organismos internacionales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Mayor amplitud geográfica y sectorial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Más flexibilidad en garantías y análisis de riesgos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Más transparencia y control parlamentario: </w:t>
      </w:r>
      <w:r>
        <w:rPr>
          <w:rFonts w:ascii="Cambria" w:hAnsi="Cambria" w:cs="Cambria" w:eastAsia="Cambria"/>
          <w:b/>
          <w:sz w:val="22"/>
        </w:rPr>
        <w:t>Memoria anual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Ejes estratégicos</w:t>
      </w:r>
      <w:r>
        <w:rPr>
          <w:rFonts w:ascii="Cambria" w:hAnsi="Cambria" w:cs="Cambria" w:eastAsia="Cambria"/>
          <w:sz w:val="22"/>
        </w:rPr>
        <w:t xml:space="preserve"> (reorientados cada año por las </w:t>
      </w:r>
      <w:r>
        <w:rPr>
          <w:rFonts w:ascii="Cambria" w:hAnsi="Cambria" w:cs="Cambria" w:eastAsia="Cambria"/>
          <w:b/>
          <w:sz w:val="22"/>
        </w:rPr>
        <w:t>Líneas Orientativas</w:t>
      </w:r>
      <w:r>
        <w:rPr>
          <w:rFonts w:ascii="Cambria" w:hAnsi="Cambria" w:cs="Cambria" w:eastAsia="Cambria"/>
          <w:sz w:val="22"/>
        </w:rPr>
        <w:t>)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Internacionalización según la </w:t>
      </w:r>
      <w:r>
        <w:rPr>
          <w:rFonts w:ascii="Cambria" w:hAnsi="Cambria" w:cs="Cambria" w:eastAsia="Cambria"/>
          <w:b/>
          <w:sz w:val="22"/>
        </w:rPr>
        <w:t>Estrategia 2017-2027</w:t>
      </w:r>
      <w:r>
        <w:rPr>
          <w:rFonts w:ascii="Cambria" w:hAnsi="Cambria" w:cs="Cambria" w:eastAsia="Cambria"/>
          <w:sz w:val="22"/>
        </w:rPr>
        <w:t xml:space="preserve"> y su actualización de 2023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Apoyo a la PYME: </w:t>
      </w:r>
      <w:r>
        <w:rPr>
          <w:rFonts w:ascii="Cambria" w:hAnsi="Cambria" w:cs="Cambria" w:eastAsia="Cambria"/>
          <w:b/>
          <w:sz w:val="22"/>
        </w:rPr>
        <w:t>Línea FIEM-PYME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Cambio climático y financiación sostenible: </w:t>
      </w:r>
      <w:r>
        <w:rPr>
          <w:rFonts w:ascii="Cambria" w:hAnsi="Cambria" w:cs="Cambria" w:eastAsia="Cambria"/>
          <w:b/>
          <w:sz w:val="22"/>
        </w:rPr>
        <w:t>Línea ECOFIEM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Cofinanciación con otros agentes públicos o privados, multilaterales o de la UE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Digitalización: plataforma online de tramitación desde </w:t>
      </w:r>
      <w:r>
        <w:rPr>
          <w:rFonts w:ascii="Cambria" w:hAnsi="Cambria" w:cs="Cambria" w:eastAsia="Cambria"/>
          <w:b/>
          <w:sz w:val="22"/>
        </w:rPr>
        <w:t>2021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Perspectiva de género en la valoración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Prioridad a operaciones en </w:t>
      </w:r>
      <w:r>
        <w:rPr>
          <w:rFonts w:ascii="Cambria" w:hAnsi="Cambria" w:cs="Cambria" w:eastAsia="Cambria"/>
          <w:b/>
          <w:sz w:val="22"/>
        </w:rPr>
        <w:t>condiciones comerciales</w:t>
      </w:r>
      <w:r>
        <w:rPr>
          <w:rFonts w:ascii="Cambria" w:hAnsi="Cambria" w:cs="Cambria" w:eastAsia="Cambria"/>
          <w:sz w:val="22"/>
        </w:rPr>
        <w:t xml:space="preserve"> (autosostenibilidad financiera)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Proyectos vinculados a </w:t>
      </w:r>
      <w:r>
        <w:rPr>
          <w:rFonts w:ascii="Cambria" w:hAnsi="Cambria" w:cs="Cambria" w:eastAsia="Cambria"/>
          <w:b/>
          <w:sz w:val="22"/>
        </w:rPr>
        <w:t>Global Gateway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Aranceles de </w:t>
      </w:r>
      <w:r>
        <w:rPr>
          <w:rFonts w:ascii="Cambria" w:hAnsi="Cambria" w:cs="Cambria" w:eastAsia="Cambria"/>
          <w:b/>
          <w:sz w:val="22"/>
        </w:rPr>
        <w:t>EEUU</w:t>
      </w:r>
      <w:r>
        <w:rPr>
          <w:rFonts w:ascii="Cambria" w:hAnsi="Cambria" w:cs="Cambria" w:eastAsia="Cambria"/>
          <w:sz w:val="22"/>
        </w:rPr>
        <w:t xml:space="preserve">: </w:t>
      </w:r>
      <w:r>
        <w:rPr>
          <w:rFonts w:ascii="Cambria" w:hAnsi="Cambria" w:cs="Cambria" w:eastAsia="Cambria"/>
          <w:b/>
          <w:sz w:val="22"/>
        </w:rPr>
        <w:t>Real Decreto-ley 4/2025</w:t>
      </w:r>
      <w:r>
        <w:rPr>
          <w:rFonts w:ascii="Cambria" w:hAnsi="Cambria" w:cs="Cambria" w:eastAsia="Cambria"/>
          <w:sz w:val="22"/>
        </w:rPr>
        <w:t xml:space="preserve"> y Plan de Respuesta y Relanzamiento Comercial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Kit Exporta</w:t>
      </w:r>
      <w:r>
        <w:rPr>
          <w:rFonts w:ascii="Cambria" w:hAnsi="Cambria" w:cs="Cambria" w:eastAsia="Cambria"/>
          <w:sz w:val="22"/>
        </w:rPr>
        <w:t xml:space="preserve"> en 2026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Empresa afectada: criterio de valoración positiva, nunca excluyente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Moneda: euro o cualquier divisa con cotización oficial del </w:t>
      </w:r>
      <w:r>
        <w:rPr>
          <w:rFonts w:ascii="Cambria" w:hAnsi="Cambria" w:cs="Cambria" w:eastAsia="Cambria"/>
          <w:b/>
          <w:sz w:val="22"/>
        </w:rPr>
        <w:t>BCE</w:t>
      </w:r>
      <w:r>
        <w:rPr>
          <w:rFonts w:ascii="Cambria" w:hAnsi="Cambria" w:cs="Cambria" w:eastAsia="Cambria"/>
          <w:sz w:val="22"/>
        </w:rPr>
        <w:t>, generalmente euros o dólares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Fases de tramitación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Solicitud del exportador o inversor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Análisis por la </w:t>
      </w:r>
      <w:r>
        <w:rPr>
          <w:rFonts w:ascii="Cambria" w:hAnsi="Cambria" w:cs="Cambria" w:eastAsia="Cambria"/>
          <w:b/>
          <w:sz w:val="22"/>
        </w:rPr>
        <w:t>Subdirección General regional</w:t>
      </w:r>
      <w:r>
        <w:rPr>
          <w:rFonts w:ascii="Cambria" w:hAnsi="Cambria" w:cs="Cambria" w:eastAsia="Cambria"/>
          <w:sz w:val="22"/>
        </w:rPr>
        <w:t xml:space="preserve"> competente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sz w:val="22"/>
        </w:rPr>
        <w:t>Áreas: Iberoamérica y América del Norte, Europa UE, Mediterráneo, África y Oriente Medio, Asia, Oceanía y Europa no UE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sz w:val="22"/>
        </w:rPr>
        <w:t>Puede emitir carta de intenciones y, tras el Grupo de Trabajo, carta de oferta financiera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Aprobación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b/>
          <w:sz w:val="22"/>
        </w:rPr>
        <w:t>Comité FIEM</w:t>
      </w:r>
      <w:r>
        <w:rPr>
          <w:rFonts w:ascii="Cambria" w:hAnsi="Cambria" w:cs="Cambria" w:eastAsia="Cambria"/>
          <w:sz w:val="22"/>
        </w:rPr>
        <w:t xml:space="preserve"> propone y la </w:t>
      </w:r>
      <w:r>
        <w:rPr>
          <w:rFonts w:ascii="Cambria" w:hAnsi="Cambria" w:cs="Cambria" w:eastAsia="Cambria"/>
          <w:b/>
          <w:sz w:val="22"/>
        </w:rPr>
        <w:t>Secretaría de Estado de Comercio</w:t>
      </w:r>
      <w:r>
        <w:rPr>
          <w:rFonts w:ascii="Cambria" w:hAnsi="Cambria" w:cs="Cambria" w:eastAsia="Cambria"/>
          <w:sz w:val="22"/>
        </w:rPr>
        <w:t xml:space="preserve"> decide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sz w:val="22"/>
        </w:rPr>
        <w:t xml:space="preserve">Al </w:t>
      </w:r>
      <w:r>
        <w:rPr>
          <w:rFonts w:ascii="Cambria" w:hAnsi="Cambria" w:cs="Cambria" w:eastAsia="Cambria"/>
          <w:b/>
          <w:sz w:val="22"/>
        </w:rPr>
        <w:t>Consejo de Ministros</w:t>
      </w:r>
      <w:r>
        <w:rPr>
          <w:rFonts w:ascii="Cambria" w:hAnsi="Cambria" w:cs="Cambria" w:eastAsia="Cambria"/>
          <w:sz w:val="22"/>
        </w:rPr>
        <w:t>: créditos concesionales, donaciones y operaciones de especial relevancia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Entrada en vigor: el </w:t>
      </w:r>
      <w:r>
        <w:rPr>
          <w:rFonts w:ascii="Cambria" w:hAnsi="Cambria" w:cs="Cambria" w:eastAsia="Cambria"/>
          <w:b/>
          <w:sz w:val="22"/>
        </w:rPr>
        <w:t>ICO</w:t>
      </w:r>
      <w:r>
        <w:rPr>
          <w:rFonts w:ascii="Cambria" w:hAnsi="Cambria" w:cs="Cambria" w:eastAsia="Cambria"/>
          <w:sz w:val="22"/>
        </w:rPr>
        <w:t>, agente financiero, negocia el convenio de crédito y paga al exportador por hitos, con banco pagador</w:t>
      </w:r>
    </w:p>
    <w:p>
      <w:pPr>
        <w:pStyle w:val="Heading2"/>
      </w:pPr>
      <w:r>
        <w:rPr>
          <w:rFonts w:ascii="Cambria" w:hAnsi="Cambria" w:cs="Cambria" w:eastAsia="Cambria"/>
          <w:b/>
          <w:color w:val="0F4761"/>
          <w:sz w:val="24"/>
        </w:rPr>
        <w:t>3.2. Características Generales del FIEM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Límite anual</w:t>
      </w:r>
      <w:r>
        <w:rPr>
          <w:rFonts w:ascii="Cambria" w:hAnsi="Cambria" w:cs="Cambria" w:eastAsia="Cambria"/>
          <w:sz w:val="22"/>
        </w:rPr>
        <w:t xml:space="preserve"> fijado por la Ley de Presupuestos Generales del Estado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Real Decreto-ley 4/2025</w:t>
      </w:r>
      <w:r>
        <w:rPr>
          <w:rFonts w:ascii="Cambria" w:hAnsi="Cambria" w:cs="Cambria" w:eastAsia="Cambria"/>
          <w:sz w:val="22"/>
        </w:rPr>
        <w:t xml:space="preserve">: de </w:t>
      </w:r>
      <w:r>
        <w:rPr>
          <w:rFonts w:ascii="Cambria" w:hAnsi="Cambria" w:cs="Cambria" w:eastAsia="Cambria"/>
          <w:b/>
          <w:sz w:val="22"/>
        </w:rPr>
        <w:t>500 a 700 M€</w:t>
      </w:r>
      <w:r>
        <w:rPr>
          <w:rFonts w:ascii="Cambria" w:hAnsi="Cambria" w:cs="Cambria" w:eastAsia="Cambria"/>
          <w:sz w:val="22"/>
        </w:rPr>
        <w:t xml:space="preserve"> en 2025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Operaciones </w:t>
      </w:r>
      <w:r>
        <w:rPr>
          <w:rFonts w:ascii="Cambria" w:hAnsi="Cambria" w:cs="Cambria" w:eastAsia="Cambria"/>
          <w:b/>
          <w:sz w:val="22"/>
        </w:rPr>
        <w:t>no reembolsables</w:t>
      </w:r>
      <w:r>
        <w:rPr>
          <w:rFonts w:ascii="Cambria" w:hAnsi="Cambria" w:cs="Cambria" w:eastAsia="Cambria"/>
          <w:sz w:val="22"/>
        </w:rPr>
        <w:t xml:space="preserve"> hasta </w:t>
      </w:r>
      <w:r>
        <w:rPr>
          <w:rFonts w:ascii="Cambria" w:hAnsi="Cambria" w:cs="Cambria" w:eastAsia="Cambria"/>
          <w:b/>
          <w:sz w:val="22"/>
        </w:rPr>
        <w:t>20 M€</w:t>
      </w:r>
      <w:r>
        <w:rPr>
          <w:rFonts w:ascii="Cambria" w:hAnsi="Cambria" w:cs="Cambria" w:eastAsia="Cambria"/>
          <w:sz w:val="22"/>
        </w:rPr>
        <w:t xml:space="preserve"> para diversificar mercados de empresas afectadas por aranceles de EEUU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Real Decreto 519/2026</w:t>
      </w:r>
      <w:r>
        <w:rPr>
          <w:rFonts w:ascii="Cambria" w:hAnsi="Cambria" w:cs="Cambria" w:eastAsia="Cambria"/>
          <w:sz w:val="22"/>
        </w:rPr>
        <w:t xml:space="preserve">: modifica el Reglamento para la reconstrucción de </w:t>
      </w:r>
      <w:r>
        <w:rPr>
          <w:rFonts w:ascii="Cambria" w:hAnsi="Cambria" w:cs="Cambria" w:eastAsia="Cambria"/>
          <w:b/>
          <w:sz w:val="22"/>
        </w:rPr>
        <w:t>Ucrania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Flexibilidad en garantías ucranianas, límite acumulado de </w:t>
      </w:r>
      <w:r>
        <w:rPr>
          <w:rFonts w:ascii="Cambria" w:hAnsi="Cambria" w:cs="Cambria" w:eastAsia="Cambria"/>
          <w:b/>
          <w:sz w:val="22"/>
        </w:rPr>
        <w:t>100 M€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Financiación no reembolsable más allá de asistencias técnicas y consultorías, límite acumulado de </w:t>
      </w:r>
      <w:r>
        <w:rPr>
          <w:rFonts w:ascii="Cambria" w:hAnsi="Cambria" w:cs="Cambria" w:eastAsia="Cambria"/>
          <w:b/>
          <w:sz w:val="22"/>
        </w:rPr>
        <w:t>100 M€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Incorpora la Oficina Española para la Reconstrucción de Ucrania al Comité FIEM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Exige maximizar el </w:t>
      </w:r>
      <w:r>
        <w:rPr>
          <w:rFonts w:ascii="Cambria" w:hAnsi="Cambria" w:cs="Cambria" w:eastAsia="Cambria"/>
          <w:b/>
          <w:sz w:val="22"/>
        </w:rPr>
        <w:t>efecto arrastre exportador</w:t>
      </w:r>
      <w:r>
        <w:rPr>
          <w:rFonts w:ascii="Cambria" w:hAnsi="Cambria" w:cs="Cambria" w:eastAsia="Cambria"/>
          <w:sz w:val="22"/>
        </w:rPr>
        <w:t xml:space="preserve"> (directo e indirecto)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Modalidades de financiación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Reembolsable </w:t>
      </w:r>
      <w:r>
        <w:rPr>
          <w:rFonts w:ascii="Cambria" w:hAnsi="Cambria" w:cs="Cambria" w:eastAsia="Cambria"/>
          <w:b/>
          <w:sz w:val="22"/>
        </w:rPr>
        <w:t>concesional</w:t>
      </w:r>
      <w:r>
        <w:rPr>
          <w:rFonts w:ascii="Cambria" w:hAnsi="Cambria" w:cs="Cambria" w:eastAsia="Cambria"/>
          <w:sz w:val="22"/>
        </w:rPr>
        <w:t xml:space="preserve">: proyectos de especial interés no viables comercialmente, requisitos del </w:t>
      </w:r>
      <w:r>
        <w:rPr>
          <w:rFonts w:ascii="Cambria" w:hAnsi="Cambria" w:cs="Cambria" w:eastAsia="Cambria"/>
          <w:b/>
          <w:sz w:val="22"/>
        </w:rPr>
        <w:t>Consenso de la OCDE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Reembolsable </w:t>
      </w:r>
      <w:r>
        <w:rPr>
          <w:rFonts w:ascii="Cambria" w:hAnsi="Cambria" w:cs="Cambria" w:eastAsia="Cambria"/>
          <w:b/>
          <w:sz w:val="22"/>
        </w:rPr>
        <w:t>comercial</w:t>
      </w:r>
      <w:r>
        <w:rPr>
          <w:rFonts w:ascii="Cambria" w:hAnsi="Cambria" w:cs="Cambria" w:eastAsia="Cambria"/>
          <w:sz w:val="22"/>
        </w:rPr>
        <w:t xml:space="preserve"> para exportación: créditos al comprador extranjero, oferta competitiva, diferencia clave con el FAD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Reembolsable </w:t>
      </w:r>
      <w:r>
        <w:rPr>
          <w:rFonts w:ascii="Cambria" w:hAnsi="Cambria" w:cs="Cambria" w:eastAsia="Cambria"/>
          <w:b/>
          <w:sz w:val="22"/>
        </w:rPr>
        <w:t>comercial</w:t>
      </w:r>
      <w:r>
        <w:rPr>
          <w:rFonts w:ascii="Cambria" w:hAnsi="Cambria" w:cs="Cambria" w:eastAsia="Cambria"/>
          <w:sz w:val="22"/>
        </w:rPr>
        <w:t xml:space="preserve"> para inversión: préstamos a inversiones productivas y </w:t>
      </w:r>
      <w:r>
        <w:rPr>
          <w:rFonts w:ascii="Cambria" w:hAnsi="Cambria" w:cs="Cambria" w:eastAsia="Cambria"/>
          <w:b/>
          <w:sz w:val="22"/>
        </w:rPr>
        <w:t>project finance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Líneas de crédito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FIEM-PYME</w:t>
      </w:r>
      <w:r>
        <w:rPr>
          <w:rFonts w:ascii="Cambria" w:hAnsi="Cambria" w:cs="Cambria" w:eastAsia="Cambria"/>
          <w:sz w:val="22"/>
        </w:rPr>
        <w:t xml:space="preserve"> (2019): hasta </w:t>
      </w:r>
      <w:r>
        <w:rPr>
          <w:rFonts w:ascii="Cambria" w:hAnsi="Cambria" w:cs="Cambria" w:eastAsia="Cambria"/>
          <w:b/>
          <w:sz w:val="22"/>
        </w:rPr>
        <w:t>10 M€</w:t>
      </w:r>
      <w:r>
        <w:rPr>
          <w:rFonts w:ascii="Cambria" w:hAnsi="Cambria" w:cs="Cambria" w:eastAsia="Cambria"/>
          <w:sz w:val="22"/>
        </w:rPr>
        <w:t xml:space="preserve"> por proyecto, más de </w:t>
      </w:r>
      <w:r>
        <w:rPr>
          <w:rFonts w:ascii="Cambria" w:hAnsi="Cambria" w:cs="Cambria" w:eastAsia="Cambria"/>
          <w:b/>
          <w:sz w:val="22"/>
        </w:rPr>
        <w:t>400 M€</w:t>
      </w:r>
      <w:r>
        <w:rPr>
          <w:rFonts w:ascii="Cambria" w:hAnsi="Cambria" w:cs="Cambria" w:eastAsia="Cambria"/>
          <w:sz w:val="22"/>
        </w:rPr>
        <w:t xml:space="preserve"> de dotación, riesgo por </w:t>
      </w:r>
      <w:r>
        <w:rPr>
          <w:rFonts w:ascii="Cambria" w:hAnsi="Cambria" w:cs="Cambria" w:eastAsia="Cambria"/>
          <w:b/>
          <w:sz w:val="22"/>
        </w:rPr>
        <w:t>CESCE</w:t>
      </w:r>
      <w:r>
        <w:rPr>
          <w:rFonts w:ascii="Cambria" w:hAnsi="Cambria" w:cs="Cambria" w:eastAsia="Cambria"/>
          <w:sz w:val="22"/>
        </w:rPr>
        <w:t xml:space="preserve"> (exportación) o </w:t>
      </w:r>
      <w:r>
        <w:rPr>
          <w:rFonts w:ascii="Cambria" w:hAnsi="Cambria" w:cs="Cambria" w:eastAsia="Cambria"/>
          <w:b/>
          <w:sz w:val="22"/>
        </w:rPr>
        <w:t>COFIDES</w:t>
      </w:r>
      <w:r>
        <w:rPr>
          <w:rFonts w:ascii="Cambria" w:hAnsi="Cambria" w:cs="Cambria" w:eastAsia="Cambria"/>
          <w:sz w:val="22"/>
        </w:rPr>
        <w:t xml:space="preserve"> (inversión)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ECOFIEM</w:t>
      </w:r>
      <w:r>
        <w:rPr>
          <w:rFonts w:ascii="Cambria" w:hAnsi="Cambria" w:cs="Cambria" w:eastAsia="Cambria"/>
          <w:sz w:val="22"/>
        </w:rPr>
        <w:t xml:space="preserve"> (2019): hasta </w:t>
      </w:r>
      <w:r>
        <w:rPr>
          <w:rFonts w:ascii="Cambria" w:hAnsi="Cambria" w:cs="Cambria" w:eastAsia="Cambria"/>
          <w:b/>
          <w:sz w:val="22"/>
        </w:rPr>
        <w:t>200 M€</w:t>
      </w:r>
      <w:r>
        <w:rPr>
          <w:rFonts w:ascii="Cambria" w:hAnsi="Cambria" w:cs="Cambria" w:eastAsia="Cambria"/>
          <w:sz w:val="22"/>
        </w:rPr>
        <w:t>, mitigación o adaptación al cambio climático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EVATIC</w:t>
      </w:r>
      <w:r>
        <w:rPr>
          <w:rFonts w:ascii="Cambria" w:hAnsi="Cambria" w:cs="Cambria" w:eastAsia="Cambria"/>
          <w:sz w:val="22"/>
        </w:rPr>
        <w:t xml:space="preserve">: </w:t>
      </w:r>
      <w:r>
        <w:rPr>
          <w:rFonts w:ascii="Cambria" w:hAnsi="Cambria" w:cs="Cambria" w:eastAsia="Cambria"/>
          <w:b/>
          <w:sz w:val="22"/>
        </w:rPr>
        <w:t>20 M€</w:t>
      </w:r>
      <w:r>
        <w:rPr>
          <w:rFonts w:ascii="Cambria" w:hAnsi="Cambria" w:cs="Cambria" w:eastAsia="Cambria"/>
          <w:sz w:val="22"/>
        </w:rPr>
        <w:t>, estudios de viabilidad y consultorías, heredera del FEV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sz w:val="22"/>
        </w:rPr>
        <w:t xml:space="preserve">Desde junio de 2017 a diciembre de 2025: </w:t>
      </w:r>
      <w:r>
        <w:rPr>
          <w:rFonts w:ascii="Cambria" w:hAnsi="Cambria" w:cs="Cambria" w:eastAsia="Cambria"/>
          <w:b/>
          <w:sz w:val="22"/>
        </w:rPr>
        <w:t>218 operaciones</w:t>
      </w:r>
      <w:r>
        <w:rPr>
          <w:rFonts w:ascii="Cambria" w:hAnsi="Cambria" w:cs="Cambria" w:eastAsia="Cambria"/>
          <w:sz w:val="22"/>
        </w:rPr>
        <w:t xml:space="preserve">, </w:t>
      </w:r>
      <w:r>
        <w:rPr>
          <w:rFonts w:ascii="Cambria" w:hAnsi="Cambria" w:cs="Cambria" w:eastAsia="Cambria"/>
          <w:b/>
          <w:sz w:val="22"/>
        </w:rPr>
        <w:t>263 M€</w:t>
      </w:r>
      <w:r>
        <w:rPr>
          <w:rFonts w:ascii="Cambria" w:hAnsi="Cambria" w:cs="Cambria" w:eastAsia="Cambria"/>
          <w:sz w:val="22"/>
        </w:rPr>
        <w:t xml:space="preserve">, remanente de </w:t>
      </w:r>
      <w:r>
        <w:rPr>
          <w:rFonts w:ascii="Cambria" w:hAnsi="Cambria" w:cs="Cambria" w:eastAsia="Cambria"/>
          <w:b/>
          <w:sz w:val="22"/>
        </w:rPr>
        <w:t>137 M€</w:t>
      </w:r>
      <w:r>
        <w:rPr>
          <w:rFonts w:ascii="Cambria" w:hAnsi="Cambria" w:cs="Cambria" w:eastAsia="Cambria"/>
          <w:sz w:val="22"/>
        </w:rPr>
        <w:t xml:space="preserve">, más del </w:t>
      </w:r>
      <w:r>
        <w:rPr>
          <w:rFonts w:ascii="Cambria" w:hAnsi="Cambria" w:cs="Cambria" w:eastAsia="Cambria"/>
          <w:b/>
          <w:sz w:val="22"/>
        </w:rPr>
        <w:t>87 %</w:t>
      </w:r>
      <w:r>
        <w:rPr>
          <w:rFonts w:ascii="Cambria" w:hAnsi="Cambria" w:cs="Cambria" w:eastAsia="Cambria"/>
          <w:sz w:val="22"/>
        </w:rPr>
        <w:t xml:space="preserve"> sector privado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b/>
          <w:sz w:val="22"/>
        </w:rPr>
        <w:t>Línea no reembolsable de estudios</w:t>
      </w:r>
      <w:r>
        <w:rPr>
          <w:rFonts w:ascii="Cambria" w:hAnsi="Cambria" w:cs="Cambria" w:eastAsia="Cambria"/>
          <w:sz w:val="22"/>
        </w:rPr>
        <w:t xml:space="preserve"> (2021): renovada en 2025 con </w:t>
      </w:r>
      <w:r>
        <w:rPr>
          <w:rFonts w:ascii="Cambria" w:hAnsi="Cambria" w:cs="Cambria" w:eastAsia="Cambria"/>
          <w:b/>
          <w:sz w:val="22"/>
        </w:rPr>
        <w:t>20 M€</w:t>
      </w:r>
      <w:r>
        <w:rPr>
          <w:rFonts w:ascii="Cambria" w:hAnsi="Cambria" w:cs="Cambria" w:eastAsia="Cambria"/>
          <w:sz w:val="22"/>
        </w:rPr>
        <w:t xml:space="preserve"> anuales hasta 2028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FIEM-Facilidades UE</w:t>
      </w:r>
      <w:r>
        <w:rPr>
          <w:rFonts w:ascii="Cambria" w:hAnsi="Cambria" w:cs="Cambria" w:eastAsia="Cambria"/>
          <w:sz w:val="22"/>
        </w:rPr>
        <w:t xml:space="preserve"> (Blending FIEM-UE): 2014, modificada en 2017, </w:t>
      </w:r>
      <w:r>
        <w:rPr>
          <w:rFonts w:ascii="Cambria" w:hAnsi="Cambria" w:cs="Cambria" w:eastAsia="Cambria"/>
          <w:b/>
          <w:sz w:val="22"/>
        </w:rPr>
        <w:t>50 M€</w:t>
      </w:r>
      <w:r>
        <w:rPr>
          <w:rFonts w:ascii="Cambria" w:hAnsi="Cambria" w:cs="Cambria" w:eastAsia="Cambria"/>
          <w:sz w:val="22"/>
        </w:rPr>
        <w:t>, COFIDES con ejecución delegada del presupuesto de la UE desde 2016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Líneas País</w:t>
      </w:r>
      <w:r>
        <w:rPr>
          <w:rFonts w:ascii="Cambria" w:hAnsi="Cambria" w:cs="Cambria" w:eastAsia="Cambria"/>
          <w:sz w:val="22"/>
        </w:rPr>
        <w:t>: convenio de crédito por importe global, aprobación del Consejo de Ministros y tramitación ágil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sz w:val="22"/>
        </w:rPr>
        <w:t xml:space="preserve">Línea PYME con </w:t>
      </w:r>
      <w:r>
        <w:rPr>
          <w:rFonts w:ascii="Cambria" w:hAnsi="Cambria" w:cs="Cambria" w:eastAsia="Cambria"/>
          <w:b/>
          <w:sz w:val="22"/>
        </w:rPr>
        <w:t>Egipto y Túnez</w:t>
      </w:r>
      <w:r>
        <w:rPr>
          <w:rFonts w:ascii="Cambria" w:hAnsi="Cambria" w:cs="Cambria" w:eastAsia="Cambria"/>
          <w:sz w:val="22"/>
        </w:rPr>
        <w:t xml:space="preserve"> y cooperación reforzada con </w:t>
      </w:r>
      <w:r>
        <w:rPr>
          <w:rFonts w:ascii="Cambria" w:hAnsi="Cambria" w:cs="Cambria" w:eastAsia="Cambria"/>
          <w:b/>
          <w:sz w:val="22"/>
        </w:rPr>
        <w:t>Marruecos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Criterios de valoración</w:t>
      </w:r>
      <w:r>
        <w:rPr>
          <w:rFonts w:ascii="Cambria" w:hAnsi="Cambria" w:cs="Cambria" w:eastAsia="Cambria"/>
          <w:sz w:val="22"/>
        </w:rPr>
        <w:t xml:space="preserve"> (Líneas Orientativas)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Interés del país, del sector y del proyecto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Efecto de arrastre, con PYME proveedoras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Viabilidad técnica y financiera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Experiencia de la empresa adjudicataria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Solvencia del beneficiario y calidad de garantías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Equilibrio de riesgos de la cartera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Coste de oportunidad y cofinanciación privada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Respeto al </w:t>
      </w:r>
      <w:r>
        <w:rPr>
          <w:rFonts w:ascii="Cambria" w:hAnsi="Cambria" w:cs="Cambria" w:eastAsia="Cambria"/>
          <w:b/>
          <w:sz w:val="22"/>
        </w:rPr>
        <w:t>Consenso OCDE</w:t>
      </w:r>
      <w:r>
        <w:rPr>
          <w:rFonts w:ascii="Cambria" w:hAnsi="Cambria" w:cs="Cambria" w:eastAsia="Cambria"/>
          <w:sz w:val="22"/>
        </w:rPr>
        <w:t xml:space="preserve"> y acuerdos anticorrupción y medioambientales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Prioridades geográficas 2026</w:t>
      </w:r>
      <w:r>
        <w:rPr>
          <w:rFonts w:ascii="Cambria" w:hAnsi="Cambria" w:cs="Cambria" w:eastAsia="Cambria"/>
          <w:sz w:val="22"/>
        </w:rPr>
        <w:t>: orientativas y no excluyentes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América: Brasil, Chile, Colombia, EEUU, México, Perú, Uruguay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Europa: Serbia, Ucrania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Asia y Oceanía: Filipinas, India, Indonesia, Vietnam, Australia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África: Senegal, Mauritania, Angola, Costa de Marfil, Nigeria, Sudáfrica, Tanzania, Uganda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Mediterráneo: Egipto, Marruecos, Túnez, Turquía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Oriente Medio: Arabia Saudí, Emiratos Árabes Unidos, Qatar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Países al corriente de obligaciones financieras con España, salvo atrasos técnicos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HIPC</w:t>
      </w:r>
      <w:r>
        <w:rPr>
          <w:rFonts w:ascii="Cambria" w:hAnsi="Cambria" w:cs="Cambria" w:eastAsia="Cambria"/>
          <w:sz w:val="22"/>
        </w:rPr>
        <w:t>: financiación reembolsable con condiciones específicas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Prioridades sectoriales 2026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Bienes de equipo, energía renovable (eólica y fotovoltaica), agua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Medio ambiente y cambio climático, TIC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Ferrocarril (material rodante y señalización), sector naval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Infraestructuras (equipamiento aeroportuario y portuario)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Educación, salud y nutrición: solo suministro y puesta en marcha de equipamiento con gran efecto de arrastre y contenido tecnológico</w:t>
      </w:r>
    </w:p>
    <w:p>
      <w:pPr>
        <w:pStyle w:val="Heading1"/>
      </w:pPr>
      <w:r>
        <w:rPr>
          <w:rFonts w:ascii="Cambria" w:hAnsi="Cambria" w:cs="Cambria" w:eastAsia="Cambria"/>
          <w:b/>
          <w:color w:val="0F4761"/>
          <w:sz w:val="28"/>
        </w:rPr>
        <w:t>4. MARCO REGULADOR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Ley 11/2010</w:t>
      </w:r>
      <w:r>
        <w:rPr>
          <w:rFonts w:ascii="Cambria" w:hAnsi="Cambria" w:cs="Cambria" w:eastAsia="Cambria"/>
          <w:sz w:val="22"/>
        </w:rPr>
        <w:t>: crea el FIEM en sustitución del FAD y del FEV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Real Decreto 1797/2010</w:t>
      </w:r>
      <w:r>
        <w:rPr>
          <w:rFonts w:ascii="Cambria" w:hAnsi="Cambria" w:cs="Cambria" w:eastAsia="Cambria"/>
          <w:sz w:val="22"/>
        </w:rPr>
        <w:t xml:space="preserve">: Reglamento del FIEM, modificado por el </w:t>
      </w:r>
      <w:r>
        <w:rPr>
          <w:rFonts w:ascii="Cambria" w:hAnsi="Cambria" w:cs="Cambria" w:eastAsia="Cambria"/>
          <w:b/>
          <w:sz w:val="22"/>
        </w:rPr>
        <w:t>Real Decreto 519/2026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FONPRODE</w:t>
      </w:r>
      <w:r>
        <w:rPr>
          <w:rFonts w:ascii="Cambria" w:hAnsi="Cambria" w:cs="Cambria" w:eastAsia="Cambria"/>
          <w:sz w:val="22"/>
        </w:rPr>
        <w:t xml:space="preserve">: </w:t>
      </w:r>
      <w:r>
        <w:rPr>
          <w:rFonts w:ascii="Cambria" w:hAnsi="Cambria" w:cs="Cambria" w:eastAsia="Cambria"/>
          <w:b/>
          <w:sz w:val="22"/>
        </w:rPr>
        <w:t>Ley 36/2010</w:t>
      </w:r>
      <w:r>
        <w:rPr>
          <w:rFonts w:ascii="Cambria" w:hAnsi="Cambria" w:cs="Cambria" w:eastAsia="Cambria"/>
          <w:sz w:val="22"/>
        </w:rPr>
        <w:t xml:space="preserve">, cooperación al desarrollo, gestionado por el Ministerio de Asuntos Exteriores, la Secretaría de Estado correspondiente y la </w:t>
      </w:r>
      <w:r>
        <w:rPr>
          <w:rFonts w:ascii="Cambria" w:hAnsi="Cambria" w:cs="Cambria" w:eastAsia="Cambria"/>
          <w:b/>
          <w:sz w:val="22"/>
        </w:rPr>
        <w:t>AECID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Sucedido por el </w:t>
      </w:r>
      <w:r>
        <w:rPr>
          <w:rFonts w:ascii="Cambria" w:hAnsi="Cambria" w:cs="Cambria" w:eastAsia="Cambria"/>
          <w:b/>
          <w:sz w:val="22"/>
        </w:rPr>
        <w:t>FEDES</w:t>
      </w:r>
      <w:r>
        <w:rPr>
          <w:rFonts w:ascii="Cambria" w:hAnsi="Cambria" w:cs="Cambria" w:eastAsia="Cambria"/>
          <w:sz w:val="22"/>
        </w:rPr>
        <w:t xml:space="preserve">: </w:t>
      </w:r>
      <w:r>
        <w:rPr>
          <w:rFonts w:ascii="Cambria" w:hAnsi="Cambria" w:cs="Cambria" w:eastAsia="Cambria"/>
          <w:b/>
          <w:sz w:val="22"/>
        </w:rPr>
        <w:t>Ley 1/2023</w:t>
      </w:r>
      <w:r>
        <w:rPr>
          <w:rFonts w:ascii="Cambria" w:hAnsi="Cambria" w:cs="Cambria" w:eastAsia="Cambria"/>
          <w:sz w:val="22"/>
        </w:rPr>
        <w:t xml:space="preserve">, Reglamento por </w:t>
      </w:r>
      <w:r>
        <w:rPr>
          <w:rFonts w:ascii="Cambria" w:hAnsi="Cambria" w:cs="Cambria" w:eastAsia="Cambria"/>
          <w:b/>
          <w:sz w:val="22"/>
        </w:rPr>
        <w:t>Real Decreto 810/2025</w:t>
      </w:r>
      <w:r>
        <w:rPr>
          <w:rFonts w:ascii="Cambria" w:hAnsi="Cambria" w:cs="Cambria" w:eastAsia="Cambria"/>
          <w:sz w:val="22"/>
        </w:rPr>
        <w:t>, gestión de la AECID con el ICO y COFIDES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Contenido de la Ley 11/2010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Arts. 1 y 2</w:t>
      </w:r>
      <w:r>
        <w:rPr>
          <w:rFonts w:ascii="Cambria" w:hAnsi="Cambria" w:cs="Cambria" w:eastAsia="Cambria"/>
          <w:sz w:val="22"/>
        </w:rPr>
        <w:t>: crean el FIEM, gestionado por la Secretaría de Estado de Comercio, para exportación e inversión directa en el exterior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Art. 3</w:t>
      </w:r>
      <w:r>
        <w:rPr>
          <w:rFonts w:ascii="Cambria" w:hAnsi="Cambria" w:cs="Cambria" w:eastAsia="Cambria"/>
          <w:sz w:val="22"/>
        </w:rPr>
        <w:t xml:space="preserve"> (principios rectores)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sz w:val="22"/>
        </w:rPr>
        <w:t>Coherencia e integración con otras políticas públicas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sz w:val="22"/>
        </w:rPr>
        <w:t>Internacionalización como objeto exclusivo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sz w:val="22"/>
        </w:rPr>
        <w:t>Coordinación por lealtad institucional (Leyes 39/2015 y 40/2015)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sz w:val="22"/>
        </w:rPr>
        <w:t>Complementariedad con el mercado privado, nunca sustitutiva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sz w:val="22"/>
        </w:rPr>
        <w:t>Coherencia con el marco internacional y eficiencia de recursos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Art. 4</w:t>
      </w:r>
      <w:r>
        <w:rPr>
          <w:rFonts w:ascii="Cambria" w:hAnsi="Cambria" w:cs="Cambria" w:eastAsia="Cambria"/>
          <w:sz w:val="22"/>
        </w:rPr>
        <w:t xml:space="preserve"> (financiación)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sz w:val="22"/>
        </w:rPr>
        <w:t>Operaciones de interés especial y asistencias técnicas o consultorías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sz w:val="22"/>
        </w:rPr>
        <w:t>Préstamos, créditos y líneas de crédito, y no reembolsable en casos justificados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sz w:val="22"/>
        </w:rPr>
        <w:t>Excluidos con carácter general los servicios sociales básicos (educación, salud, nutrición), con excepciones reglamentarias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Art. 5</w:t>
      </w:r>
      <w:r>
        <w:rPr>
          <w:rFonts w:ascii="Cambria" w:hAnsi="Cambria" w:cs="Cambria" w:eastAsia="Cambria"/>
          <w:sz w:val="22"/>
        </w:rPr>
        <w:t xml:space="preserve"> (beneficiarios y garantías)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sz w:val="22"/>
        </w:rPr>
        <w:t>Estados, Administraciones públicas extranjeras, instituciones públicas y empresas o consorcios, de países desarrollados o en desarrollo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sz w:val="22"/>
        </w:rPr>
        <w:t xml:space="preserve">Garantía </w:t>
      </w:r>
      <w:r>
        <w:rPr>
          <w:rFonts w:ascii="Cambria" w:hAnsi="Cambria" w:cs="Cambria" w:eastAsia="Cambria"/>
          <w:b/>
          <w:sz w:val="22"/>
        </w:rPr>
        <w:t>soberana</w:t>
      </w:r>
      <w:r>
        <w:rPr>
          <w:rFonts w:ascii="Cambria" w:hAnsi="Cambria" w:cs="Cambria" w:eastAsia="Cambria"/>
          <w:sz w:val="22"/>
        </w:rPr>
        <w:t xml:space="preserve"> o de organismo internacional como regla general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sz w:val="22"/>
        </w:rPr>
        <w:t>Reglamento admite garantías de Administraciones subestatales, instituciones y empresas con solvencia, con valoración específica del riesgo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sz w:val="22"/>
        </w:rPr>
        <w:t>Organismos internacionales pueden recibir recursos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b/>
          <w:sz w:val="22"/>
        </w:rPr>
        <w:t>HIPC</w:t>
      </w:r>
      <w:r>
        <w:rPr>
          <w:rFonts w:ascii="Cambria" w:hAnsi="Cambria" w:cs="Cambria" w:eastAsia="Cambria"/>
          <w:sz w:val="22"/>
        </w:rPr>
        <w:t>: limitaciones y excepciones de la Ley</w:t>
      </w:r>
    </w:p>
    <w:p>
      <w:pPr>
        <w:pStyle w:val="Heading1"/>
      </w:pPr>
      <w:r>
        <w:rPr>
          <w:rFonts w:ascii="Cambria" w:hAnsi="Cambria" w:cs="Cambria" w:eastAsia="Cambria"/>
          <w:b/>
          <w:color w:val="0F4761"/>
          <w:sz w:val="28"/>
        </w:rPr>
        <w:t>5. FONDOS COFIDES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COFIDES, S.M.E.</w:t>
      </w:r>
      <w:r>
        <w:rPr>
          <w:rFonts w:ascii="Cambria" w:hAnsi="Cambria" w:cs="Cambria" w:eastAsia="Cambria"/>
          <w:sz w:val="22"/>
        </w:rPr>
        <w:t xml:space="preserve">: sociedad mercantil estatal de </w:t>
      </w:r>
      <w:r>
        <w:rPr>
          <w:rFonts w:ascii="Cambria" w:hAnsi="Cambria" w:cs="Cambria" w:eastAsia="Cambria"/>
          <w:b/>
          <w:sz w:val="22"/>
        </w:rPr>
        <w:t>1988</w:t>
      </w:r>
      <w:r>
        <w:rPr>
          <w:rFonts w:ascii="Cambria" w:hAnsi="Cambria" w:cs="Cambria" w:eastAsia="Cambria"/>
          <w:sz w:val="22"/>
        </w:rPr>
        <w:t>, financia proyectos privados viables de inversión exterior con interés español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Recursos propios y gestión por cuenta del Estado de </w:t>
      </w:r>
      <w:r>
        <w:rPr>
          <w:rFonts w:ascii="Cambria" w:hAnsi="Cambria" w:cs="Cambria" w:eastAsia="Cambria"/>
          <w:b/>
          <w:sz w:val="22"/>
        </w:rPr>
        <w:t>FIEX</w:t>
      </w:r>
      <w:r>
        <w:rPr>
          <w:rFonts w:ascii="Cambria" w:hAnsi="Cambria" w:cs="Cambria" w:eastAsia="Cambria"/>
          <w:sz w:val="22"/>
        </w:rPr>
        <w:t xml:space="preserve"> y </w:t>
      </w:r>
      <w:r>
        <w:rPr>
          <w:rFonts w:ascii="Cambria" w:hAnsi="Cambria" w:cs="Cambria" w:eastAsia="Cambria"/>
          <w:b/>
          <w:sz w:val="22"/>
        </w:rPr>
        <w:t>FONPYME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Participa en mecanismos de </w:t>
      </w:r>
      <w:r>
        <w:rPr>
          <w:rFonts w:ascii="Cambria" w:hAnsi="Cambria" w:cs="Cambria" w:eastAsia="Cambria"/>
          <w:b/>
          <w:sz w:val="22"/>
        </w:rPr>
        <w:t>blending</w:t>
      </w:r>
      <w:r>
        <w:rPr>
          <w:rFonts w:ascii="Cambria" w:hAnsi="Cambria" w:cs="Cambria" w:eastAsia="Cambria"/>
          <w:sz w:val="22"/>
        </w:rPr>
        <w:t xml:space="preserve"> con fondos de la UE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Capital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Público (en torno al </w:t>
      </w:r>
      <w:r>
        <w:rPr>
          <w:rFonts w:ascii="Cambria" w:hAnsi="Cambria" w:cs="Cambria" w:eastAsia="Cambria"/>
          <w:b/>
          <w:sz w:val="22"/>
        </w:rPr>
        <w:t>53 %</w:t>
      </w:r>
      <w:r>
        <w:rPr>
          <w:rFonts w:ascii="Cambria" w:hAnsi="Cambria" w:cs="Cambria" w:eastAsia="Cambria"/>
          <w:sz w:val="22"/>
        </w:rPr>
        <w:t xml:space="preserve">): </w:t>
      </w:r>
      <w:r>
        <w:rPr>
          <w:rFonts w:ascii="Cambria" w:hAnsi="Cambria" w:cs="Cambria" w:eastAsia="Cambria"/>
          <w:b/>
          <w:sz w:val="22"/>
        </w:rPr>
        <w:t>ICEX</w:t>
      </w:r>
      <w:r>
        <w:rPr>
          <w:rFonts w:ascii="Cambria" w:hAnsi="Cambria" w:cs="Cambria" w:eastAsia="Cambria"/>
          <w:sz w:val="22"/>
        </w:rPr>
        <w:t xml:space="preserve"> 25,74 %, </w:t>
      </w:r>
      <w:r>
        <w:rPr>
          <w:rFonts w:ascii="Cambria" w:hAnsi="Cambria" w:cs="Cambria" w:eastAsia="Cambria"/>
          <w:b/>
          <w:sz w:val="22"/>
        </w:rPr>
        <w:t>ICO</w:t>
      </w:r>
      <w:r>
        <w:rPr>
          <w:rFonts w:ascii="Cambria" w:hAnsi="Cambria" w:cs="Cambria" w:eastAsia="Cambria"/>
          <w:sz w:val="22"/>
        </w:rPr>
        <w:t xml:space="preserve"> 20,31 %, </w:t>
      </w:r>
      <w:r>
        <w:rPr>
          <w:rFonts w:ascii="Cambria" w:hAnsi="Cambria" w:cs="Cambria" w:eastAsia="Cambria"/>
          <w:b/>
          <w:sz w:val="22"/>
        </w:rPr>
        <w:t>ENISA</w:t>
      </w:r>
      <w:r>
        <w:rPr>
          <w:rFonts w:ascii="Cambria" w:hAnsi="Cambria" w:cs="Cambria" w:eastAsia="Cambria"/>
          <w:sz w:val="22"/>
        </w:rPr>
        <w:t xml:space="preserve"> 7,63 %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Privado: Banco Santander 20,17 %, BBVA 16,68 %, Banco Sabadell 8,33 %, CAF 1,14 %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Acreditada para gestionar presupuesto de cooperación de la UE, avanza en la acreditación ante el </w:t>
      </w:r>
      <w:r>
        <w:rPr>
          <w:rFonts w:ascii="Cambria" w:hAnsi="Cambria" w:cs="Cambria" w:eastAsia="Cambria"/>
          <w:b/>
          <w:sz w:val="22"/>
        </w:rPr>
        <w:t>Fondo Verde para el Clima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Desde </w:t>
      </w:r>
      <w:r>
        <w:rPr>
          <w:rFonts w:ascii="Cambria" w:hAnsi="Cambria" w:cs="Cambria" w:eastAsia="Cambria"/>
          <w:b/>
          <w:sz w:val="22"/>
        </w:rPr>
        <w:t>2023</w:t>
      </w:r>
      <w:r>
        <w:rPr>
          <w:rFonts w:ascii="Cambria" w:hAnsi="Cambria" w:cs="Cambria" w:eastAsia="Cambria"/>
          <w:sz w:val="22"/>
        </w:rPr>
        <w:t xml:space="preserve"> gestiona dos fondos de sentido inverso con fondos del </w:t>
      </w:r>
      <w:r>
        <w:rPr>
          <w:rFonts w:ascii="Cambria" w:hAnsi="Cambria" w:cs="Cambria" w:eastAsia="Cambria"/>
          <w:b/>
          <w:sz w:val="22"/>
        </w:rPr>
        <w:t>PRTR</w:t>
      </w:r>
    </w:p>
    <w:p>
      <w:pPr>
        <w:pStyle w:val="Heading2"/>
      </w:pPr>
      <w:r>
        <w:rPr>
          <w:rFonts w:ascii="Cambria" w:hAnsi="Cambria" w:cs="Cambria" w:eastAsia="Cambria"/>
          <w:b/>
          <w:color w:val="0F4761"/>
          <w:sz w:val="24"/>
        </w:rPr>
        <w:t>5.1. Fondo para las Inversiones en el Exterior (FIEX)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Fin: internacionalización de empresas y economía con proyectos de inversión exterior con interés español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Regulación: </w:t>
      </w:r>
      <w:r>
        <w:rPr>
          <w:rFonts w:ascii="Cambria" w:hAnsi="Cambria" w:cs="Cambria" w:eastAsia="Cambria"/>
          <w:b/>
          <w:sz w:val="22"/>
        </w:rPr>
        <w:t>Ley 66/1997</w:t>
      </w:r>
      <w:r>
        <w:rPr>
          <w:rFonts w:ascii="Cambria" w:hAnsi="Cambria" w:cs="Cambria" w:eastAsia="Cambria"/>
          <w:sz w:val="22"/>
        </w:rPr>
        <w:t xml:space="preserve"> y </w:t>
      </w:r>
      <w:r>
        <w:rPr>
          <w:rFonts w:ascii="Cambria" w:hAnsi="Cambria" w:cs="Cambria" w:eastAsia="Cambria"/>
          <w:b/>
          <w:sz w:val="22"/>
        </w:rPr>
        <w:t>Real Decreto 1226/2006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Productos de </w:t>
      </w:r>
      <w:r>
        <w:rPr>
          <w:rFonts w:ascii="Cambria" w:hAnsi="Cambria" w:cs="Cambria" w:eastAsia="Cambria"/>
          <w:b/>
          <w:sz w:val="22"/>
        </w:rPr>
        <w:t>250 mil a 30 M€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Participaciones </w:t>
      </w:r>
      <w:r>
        <w:rPr>
          <w:rFonts w:ascii="Cambria" w:hAnsi="Cambria" w:cs="Cambria" w:eastAsia="Cambria"/>
          <w:b/>
          <w:sz w:val="22"/>
        </w:rPr>
        <w:t>temporales y minoritarias</w:t>
      </w:r>
      <w:r>
        <w:rPr>
          <w:rFonts w:ascii="Cambria" w:hAnsi="Cambria" w:cs="Cambria" w:eastAsia="Cambria"/>
          <w:sz w:val="22"/>
        </w:rPr>
        <w:t>, directas o indirectas, en empresas españolas o del exterior, vehículos de capital expansión y fondos privados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Instrumentos de </w:t>
      </w:r>
      <w:r>
        <w:rPr>
          <w:rFonts w:ascii="Cambria" w:hAnsi="Cambria" w:cs="Cambria" w:eastAsia="Cambria"/>
          <w:b/>
          <w:sz w:val="22"/>
        </w:rPr>
        <w:t>capital y cuasi-capital</w:t>
      </w:r>
      <w:r>
        <w:rPr>
          <w:rFonts w:ascii="Cambria" w:hAnsi="Cambria" w:cs="Cambria" w:eastAsia="Cambria"/>
          <w:sz w:val="22"/>
        </w:rPr>
        <w:t>: capital, préstamos subordinados, participativos o convertibles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Cualquier país excepto España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Gestión de COFIDES por cuenta del Estado</w:t>
      </w:r>
    </w:p>
    <w:p>
      <w:pPr>
        <w:pStyle w:val="Heading2"/>
      </w:pPr>
      <w:r>
        <w:rPr>
          <w:rFonts w:ascii="Cambria" w:hAnsi="Cambria" w:cs="Cambria" w:eastAsia="Cambria"/>
          <w:b/>
          <w:color w:val="0F4761"/>
          <w:sz w:val="24"/>
        </w:rPr>
        <w:t>5.2. Fondo para Operaciones en el Exterior de PYME (FONPYME)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Fin: internacionalización de </w:t>
      </w:r>
      <w:r>
        <w:rPr>
          <w:rFonts w:ascii="Cambria" w:hAnsi="Cambria" w:cs="Cambria" w:eastAsia="Cambria"/>
          <w:b/>
          <w:sz w:val="22"/>
        </w:rPr>
        <w:t>PYME</w:t>
      </w:r>
      <w:r>
        <w:rPr>
          <w:rFonts w:ascii="Cambria" w:hAnsi="Cambria" w:cs="Cambria" w:eastAsia="Cambria"/>
          <w:sz w:val="22"/>
        </w:rPr>
        <w:t xml:space="preserve"> mediante inversión exterior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Mismas fórmulas que el FIEX: participaciones temporales y minoritarias, fondos y otros instrumentos participativos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Productos de </w:t>
      </w:r>
      <w:r>
        <w:rPr>
          <w:rFonts w:ascii="Cambria" w:hAnsi="Cambria" w:cs="Cambria" w:eastAsia="Cambria"/>
          <w:b/>
          <w:sz w:val="22"/>
        </w:rPr>
        <w:t>75 mil a 5 M€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Cofinancia con COFIDES o, en ciertos supuestos, financia sin COFIDES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Cualquier país, gestión de COFIDES por cuenta del Estado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FIEM frente a FIEX y FONPYME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FIEM: operaciones de exportación e inversión, principalmente reembolsable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FIEX y FONPYME: solo inversión exterior, capital y cuasi-capital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FONPYME: centrado en PYME</w:t>
      </w:r>
    </w:p>
    <w:p>
      <w:pPr>
        <w:pStyle w:val="Heading2"/>
      </w:pPr>
      <w:r>
        <w:rPr>
          <w:rFonts w:ascii="Cambria" w:hAnsi="Cambria" w:cs="Cambria" w:eastAsia="Cambria"/>
          <w:b/>
          <w:color w:val="0F4761"/>
          <w:sz w:val="24"/>
        </w:rPr>
        <w:t>5.3. Otros fondos de COFIDES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FOCO</w:t>
      </w:r>
      <w:r>
        <w:rPr>
          <w:rFonts w:ascii="Cambria" w:hAnsi="Cambria" w:cs="Cambria" w:eastAsia="Cambria"/>
          <w:sz w:val="22"/>
        </w:rPr>
        <w:t xml:space="preserve"> (Fondo de Coinversión): </w:t>
      </w:r>
      <w:r>
        <w:rPr>
          <w:rFonts w:ascii="Cambria" w:hAnsi="Cambria" w:cs="Cambria" w:eastAsia="Cambria"/>
          <w:b/>
          <w:sz w:val="22"/>
        </w:rPr>
        <w:t>2.000 M€</w:t>
      </w:r>
      <w:r>
        <w:rPr>
          <w:rFonts w:ascii="Cambria" w:hAnsi="Cambria" w:cs="Cambria" w:eastAsia="Cambria"/>
          <w:sz w:val="22"/>
        </w:rPr>
        <w:t>, atrae inversión extranjera a España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FIS</w:t>
      </w:r>
      <w:r>
        <w:rPr>
          <w:rFonts w:ascii="Cambria" w:hAnsi="Cambria" w:cs="Cambria" w:eastAsia="Cambria"/>
          <w:sz w:val="22"/>
        </w:rPr>
        <w:t xml:space="preserve"> (Fondo de Impacto Social): </w:t>
      </w:r>
      <w:r>
        <w:rPr>
          <w:rFonts w:ascii="Cambria" w:hAnsi="Cambria" w:cs="Cambria" w:eastAsia="Cambria"/>
          <w:b/>
          <w:sz w:val="22"/>
        </w:rPr>
        <w:t>400 M€</w:t>
      </w:r>
      <w:r>
        <w:rPr>
          <w:rFonts w:ascii="Cambria" w:hAnsi="Cambria" w:cs="Cambria" w:eastAsia="Cambria"/>
          <w:sz w:val="22"/>
        </w:rPr>
        <w:t>, impacto social y medioambiental en España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Ambos con recursos del </w:t>
      </w:r>
      <w:r>
        <w:rPr>
          <w:rFonts w:ascii="Cambria" w:hAnsi="Cambria" w:cs="Cambria" w:eastAsia="Cambria"/>
          <w:b/>
          <w:sz w:val="22"/>
        </w:rPr>
        <w:t>PRTR</w:t>
      </w:r>
      <w:r>
        <w:rPr>
          <w:rFonts w:ascii="Cambria" w:hAnsi="Cambria" w:cs="Cambria" w:eastAsia="Cambria"/>
          <w:sz w:val="22"/>
        </w:rPr>
        <w:t>, fuera del núcleo del tema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En </w:t>
      </w:r>
      <w:r>
        <w:rPr>
          <w:rFonts w:ascii="Cambria" w:hAnsi="Cambria" w:cs="Cambria" w:eastAsia="Cambria"/>
          <w:b/>
          <w:sz w:val="22"/>
        </w:rPr>
        <w:t>2026</w:t>
      </w:r>
      <w:r>
        <w:rPr>
          <w:rFonts w:ascii="Cambria" w:hAnsi="Cambria" w:cs="Cambria" w:eastAsia="Cambria"/>
          <w:sz w:val="22"/>
        </w:rPr>
        <w:t xml:space="preserve"> culminó la fase de inversión de ambos, con dotaciones comprometidas</w:t>
      </w:r>
    </w:p>
    <w:p>
      <w:pPr>
        <w:pStyle w:val="Heading1"/>
      </w:pPr>
      <w:r>
        <w:rPr>
          <w:rFonts w:ascii="Cambria" w:hAnsi="Cambria" w:cs="Cambria" w:eastAsia="Cambria"/>
          <w:b/>
          <w:color w:val="0F4761"/>
          <w:sz w:val="28"/>
        </w:rPr>
        <w:t>6. CONCLUSIÓN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FIEM</w:t>
      </w:r>
      <w:r>
        <w:rPr>
          <w:rFonts w:ascii="Cambria" w:hAnsi="Cambria" w:cs="Cambria" w:eastAsia="Cambria"/>
          <w:sz w:val="22"/>
        </w:rPr>
        <w:t>: principal instrumento público de financiación directa de exportación e inversión exterior, principalmente reembolsable, con atención al efecto de arrastre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Evolución del FAD: separación entre internacionalización y cooperación al desarrollo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2025: límite de </w:t>
      </w:r>
      <w:r>
        <w:rPr>
          <w:rFonts w:ascii="Cambria" w:hAnsi="Cambria" w:cs="Cambria" w:eastAsia="Cambria"/>
          <w:b/>
          <w:sz w:val="22"/>
        </w:rPr>
        <w:t>500 a 700 M€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2026: refuerzo para la reconstrucción de </w:t>
      </w:r>
      <w:r>
        <w:rPr>
          <w:rFonts w:ascii="Cambria" w:hAnsi="Cambria" w:cs="Cambria" w:eastAsia="Cambria"/>
          <w:b/>
          <w:sz w:val="22"/>
        </w:rPr>
        <w:t>Ucrania</w:t>
      </w:r>
      <w:r>
        <w:rPr>
          <w:rFonts w:ascii="Cambria" w:hAnsi="Cambria" w:cs="Cambria" w:eastAsia="Cambria"/>
          <w:sz w:val="22"/>
        </w:rPr>
        <w:t xml:space="preserve"> con la modificación del Reglamento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COFIDES</w:t>
      </w:r>
      <w:r>
        <w:rPr>
          <w:rFonts w:ascii="Cambria" w:hAnsi="Cambria" w:cs="Cambria" w:eastAsia="Cambria"/>
          <w:sz w:val="22"/>
        </w:rPr>
        <w:t xml:space="preserve"> completa el sistema con </w:t>
      </w:r>
      <w:r>
        <w:rPr>
          <w:rFonts w:ascii="Cambria" w:hAnsi="Cambria" w:cs="Cambria" w:eastAsia="Cambria"/>
          <w:b/>
          <w:sz w:val="22"/>
        </w:rPr>
        <w:t>FIEX</w:t>
      </w:r>
      <w:r>
        <w:rPr>
          <w:rFonts w:ascii="Cambria" w:hAnsi="Cambria" w:cs="Cambria" w:eastAsia="Cambria"/>
          <w:sz w:val="22"/>
        </w:rPr>
        <w:t xml:space="preserve"> (capital y cuasi-capital) y </w:t>
      </w:r>
      <w:r>
        <w:rPr>
          <w:rFonts w:ascii="Cambria" w:hAnsi="Cambria" w:cs="Cambria" w:eastAsia="Cambria"/>
          <w:b/>
          <w:sz w:val="22"/>
        </w:rPr>
        <w:t>FONPYME</w:t>
      </w:r>
      <w:r>
        <w:rPr>
          <w:rFonts w:ascii="Cambria" w:hAnsi="Cambria" w:cs="Cambria" w:eastAsia="Cambria"/>
          <w:sz w:val="22"/>
        </w:rPr>
        <w:t xml:space="preserve"> (PYME)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Cubre la financiación de la exportación y la implantación e inversión en mercados exteriores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mbria" w:hAnsi="Cambria" w:cs="Cambria" w:eastAsia="Cambria"/>
        <w:color w:val="595959"/>
        <w:sz w:val="18"/>
      </w:rPr>
      <w:fldChar w:fldCharType="begin"/>
    </w:r>
    <w:r>
      <w:rPr>
        <w:rFonts w:ascii="Cambria" w:hAnsi="Cambria" w:cs="Cambria" w:eastAsia="Cambria"/>
        <w:color w:val="595959"/>
        <w:sz w:val="18"/>
      </w:rPr>
      <w:instrText xml:space="preserve">PAGE</w:instrText>
    </w:r>
    <w:r>
      <w:rPr>
        <w:rFonts w:ascii="Cambria" w:hAnsi="Cambria" w:cs="Cambria" w:eastAsia="Cambria"/>
        <w:color w:val="595959"/>
        <w:sz w:val="18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240"/>
      <w:jc w:val="both"/>
    </w:pPr>
    <w:r>
      <w:rPr>
        <w:rFonts w:ascii="Cambria" w:hAnsi="Cambria" w:cs="Cambria" w:eastAsia="Cambria"/>
        <w:b/>
        <w:i/>
        <w:color w:val="595959"/>
        <w:sz w:val="18"/>
      </w:rPr>
      <w:t>TEMA 9 – Instrumentos financieros de apoyo a la internacionalización (III). El FIEM.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mbria" w:hAnsi="Cambria" w:eastAsia="Cambria"/>
      <w:sz w:val="22"/>
      <w:lang w:val="es-ES" w:eastAsia="es-ES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Cambria" w:hAnsi="Cambria" w:eastAsia="Cambria"/>
      <w:b/>
      <w:bCs/>
      <w:color w:val="0F476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Cambria" w:hAnsi="Cambria" w:eastAsia="Cambria"/>
      <w:b/>
      <w:bCs/>
      <w:color w:val="0F476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/>
      <w:contextualSpacing/>
    </w:pPr>
    <w:rPr>
      <w:rFonts w:ascii="Cambria" w:hAnsi="Cambria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40"/>
      <w:contextualSpacing/>
    </w:pPr>
    <w:rPr>
      <w:rFonts w:ascii="Cambria" w:hAnsi="Cambria"/>
      <w:sz w:val="22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spacing w:after="40"/>
      <w:contextualSpacing/>
    </w:pPr>
    <w:rPr>
      <w:rFonts w:ascii="Cambria" w:hAnsi="Cambria"/>
      <w:sz w:val="22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TEMA 9 – Instrumentos financieros de apoyo a la internacionalización (III). El FIEM.</dc:title>
  <dc:subject>Esquema del temario de oposiciones al SOIVRE</dc:subject>
  <dc:creator>Sergio Argudo Santiago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es-ES</dc:language>
</cp:coreProperties>
</file>