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B2F46" w14:textId="77777777" w:rsidR="008E10FA" w:rsidRPr="00142999" w:rsidRDefault="008E10FA" w:rsidP="0014299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142999">
        <w:rPr>
          <w:rFonts w:ascii="Cambria" w:hAnsi="Cambria"/>
          <w:b/>
          <w:bCs/>
          <w:color w:val="auto"/>
          <w:sz w:val="28"/>
          <w:szCs w:val="28"/>
        </w:rPr>
        <w:t>1. INTRODUCCIÓN: BARRERAS Y MARCO INTERNACIONAL</w:t>
      </w:r>
    </w:p>
    <w:p w14:paraId="6BB163E6" w14:textId="77777777" w:rsidR="008E10FA" w:rsidRPr="00142999" w:rsidRDefault="008E10FA" w:rsidP="00142999">
      <w:pPr>
        <w:jc w:val="both"/>
        <w:rPr>
          <w:rFonts w:ascii="Cambria" w:hAnsi="Cambria"/>
        </w:rPr>
      </w:pPr>
      <w:r w:rsidRPr="00142999">
        <w:rPr>
          <w:rFonts w:ascii="Cambria" w:hAnsi="Cambria"/>
        </w:rPr>
        <w:t>Las barreras técnicas (normas, reglamentos, certificaciones) son los principales obstáculos al comercio moderno tras la reducción de aranceles.</w:t>
      </w:r>
    </w:p>
    <w:p w14:paraId="0F5255BC" w14:textId="568C21DF" w:rsidR="008E10FA" w:rsidRPr="00142999" w:rsidRDefault="008E10FA" w:rsidP="00142999">
      <w:pPr>
        <w:numPr>
          <w:ilvl w:val="0"/>
          <w:numId w:val="1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Marco Multilateral (OMC):</w:t>
      </w:r>
      <w:r w:rsidRPr="00142999">
        <w:rPr>
          <w:rFonts w:ascii="Cambria" w:hAnsi="Cambria"/>
        </w:rPr>
        <w:t xml:space="preserve"> El Acuerdo OTC promueve la armonización internacional y recomienda el Reconocimiento Mutuo de los resultados de la evaluación de la conformidad para evitar duplicidades.</w:t>
      </w:r>
    </w:p>
    <w:p w14:paraId="1E9B4906" w14:textId="6C8927BE" w:rsidR="00F7724A" w:rsidRPr="00142999" w:rsidRDefault="00F7724A" w:rsidP="00142999">
      <w:pPr>
        <w:numPr>
          <w:ilvl w:val="0"/>
          <w:numId w:val="1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Marco Regional (UE) con un Mercado único basado en:</w:t>
      </w:r>
    </w:p>
    <w:p w14:paraId="316F2FA6" w14:textId="5C553139" w:rsidR="00F7724A" w:rsidRPr="00142999" w:rsidRDefault="00F7724A" w:rsidP="00142999">
      <w:pPr>
        <w:numPr>
          <w:ilvl w:val="1"/>
          <w:numId w:val="1"/>
        </w:numPr>
        <w:jc w:val="both"/>
        <w:rPr>
          <w:rFonts w:ascii="Cambria" w:hAnsi="Cambria"/>
        </w:rPr>
      </w:pPr>
      <w:r w:rsidRPr="00142999">
        <w:rPr>
          <w:rFonts w:ascii="Cambria" w:hAnsi="Cambria"/>
        </w:rPr>
        <w:t xml:space="preserve">Principio de Armonización legislativa </w:t>
      </w:r>
    </w:p>
    <w:p w14:paraId="36E09A0F" w14:textId="75E4A0CF" w:rsidR="00F7724A" w:rsidRPr="00142999" w:rsidRDefault="00F7724A" w:rsidP="00142999">
      <w:pPr>
        <w:numPr>
          <w:ilvl w:val="1"/>
          <w:numId w:val="1"/>
        </w:numPr>
        <w:jc w:val="both"/>
        <w:rPr>
          <w:rFonts w:ascii="Cambria" w:hAnsi="Cambria"/>
        </w:rPr>
      </w:pPr>
      <w:r w:rsidRPr="00142999">
        <w:rPr>
          <w:rFonts w:ascii="Cambria" w:hAnsi="Cambria"/>
        </w:rPr>
        <w:t xml:space="preserve">Principio de Transparencia </w:t>
      </w:r>
    </w:p>
    <w:p w14:paraId="3C9C5C33" w14:textId="6FE41E77" w:rsidR="00F7724A" w:rsidRPr="00142999" w:rsidRDefault="00F7724A" w:rsidP="00142999">
      <w:pPr>
        <w:numPr>
          <w:ilvl w:val="1"/>
          <w:numId w:val="1"/>
        </w:numPr>
        <w:jc w:val="both"/>
        <w:rPr>
          <w:rFonts w:ascii="Cambria" w:hAnsi="Cambria"/>
        </w:rPr>
      </w:pPr>
      <w:r w:rsidRPr="00142999">
        <w:rPr>
          <w:rFonts w:ascii="Cambria" w:hAnsi="Cambria"/>
        </w:rPr>
        <w:t xml:space="preserve">Principio de Reconocimiento mutuo </w:t>
      </w:r>
    </w:p>
    <w:p w14:paraId="64AFC56B" w14:textId="3A53F477" w:rsidR="008E10FA" w:rsidRPr="00142999" w:rsidRDefault="008E10FA" w:rsidP="00142999">
      <w:pPr>
        <w:numPr>
          <w:ilvl w:val="0"/>
          <w:numId w:val="1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Objetivo:</w:t>
      </w:r>
      <w:r w:rsidRPr="00142999">
        <w:rPr>
          <w:rFonts w:ascii="Cambria" w:hAnsi="Cambria"/>
        </w:rPr>
        <w:t xml:space="preserve"> Permitir que los productos sean ensayados y certificados en el país de origen según las normas del país de destino, evitando costes y retrasos de una segunda certificación en destino.</w:t>
      </w:r>
    </w:p>
    <w:p w14:paraId="46357595" w14:textId="38E6CC97" w:rsidR="008E10FA" w:rsidRPr="00142999" w:rsidRDefault="008E10FA" w:rsidP="0014299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142999">
        <w:rPr>
          <w:rFonts w:ascii="Cambria" w:hAnsi="Cambria"/>
          <w:b/>
          <w:bCs/>
          <w:color w:val="auto"/>
          <w:sz w:val="28"/>
          <w:szCs w:val="28"/>
        </w:rPr>
        <w:t>2. ACUERDOS DE RECONOCIMIENTO MUTUO</w:t>
      </w:r>
    </w:p>
    <w:p w14:paraId="0BECBB8F" w14:textId="77777777" w:rsidR="008E10FA" w:rsidRPr="00142999" w:rsidRDefault="008E10FA" w:rsidP="00142999">
      <w:pPr>
        <w:jc w:val="both"/>
        <w:rPr>
          <w:rFonts w:ascii="Cambria" w:hAnsi="Cambria"/>
        </w:rPr>
      </w:pPr>
      <w:r w:rsidRPr="00142999">
        <w:rPr>
          <w:rFonts w:ascii="Cambria" w:hAnsi="Cambria"/>
        </w:rPr>
        <w:t>Son acuerdos internacionales entre dos Partes por los que cada una acepta los informes, certificados y marcas emitidos por los organismos de la otra Parte para determinados sectores regulados.</w:t>
      </w:r>
    </w:p>
    <w:p w14:paraId="13E41C0B" w14:textId="77777777" w:rsidR="008E10FA" w:rsidRPr="00142999" w:rsidRDefault="008E10FA" w:rsidP="00142999">
      <w:p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Características y Beneficios:</w:t>
      </w:r>
    </w:p>
    <w:p w14:paraId="3114833A" w14:textId="77777777" w:rsidR="008E10FA" w:rsidRPr="00142999" w:rsidRDefault="008E10FA" w:rsidP="00142999">
      <w:pPr>
        <w:numPr>
          <w:ilvl w:val="0"/>
          <w:numId w:val="2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Autoridad:</w:t>
      </w:r>
      <w:r w:rsidRPr="00142999">
        <w:rPr>
          <w:rFonts w:ascii="Cambria" w:hAnsi="Cambria"/>
        </w:rPr>
        <w:t xml:space="preserve"> Permiten a los organismos del país exportador evaluar la conformidad con respecto a la legislación del país importador.</w:t>
      </w:r>
    </w:p>
    <w:p w14:paraId="7AFB0881" w14:textId="7B2EE707" w:rsidR="008E10FA" w:rsidRPr="00142999" w:rsidRDefault="008E10FA" w:rsidP="00142999">
      <w:pPr>
        <w:numPr>
          <w:ilvl w:val="0"/>
          <w:numId w:val="2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No requieren armonización:</w:t>
      </w:r>
      <w:r w:rsidRPr="00142999">
        <w:rPr>
          <w:rFonts w:ascii="Cambria" w:hAnsi="Cambria"/>
        </w:rPr>
        <w:t xml:space="preserve"> Cada parte mantiene sus propias normas y regulaciones técnicas; se reconoce la competencia de los organismos certificadores, no la equivalencia de las normas</w:t>
      </w:r>
      <w:r w:rsidR="00F7724A" w:rsidRPr="00142999">
        <w:rPr>
          <w:rFonts w:ascii="Cambria" w:hAnsi="Cambria"/>
        </w:rPr>
        <w:t>.</w:t>
      </w:r>
    </w:p>
    <w:p w14:paraId="0B824529" w14:textId="77777777" w:rsidR="008E10FA" w:rsidRPr="00142999" w:rsidRDefault="008E10FA" w:rsidP="00142999">
      <w:pPr>
        <w:numPr>
          <w:ilvl w:val="0"/>
          <w:numId w:val="2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Reducción de costes:</w:t>
      </w:r>
      <w:r w:rsidRPr="00142999">
        <w:rPr>
          <w:rFonts w:ascii="Cambria" w:hAnsi="Cambria"/>
        </w:rPr>
        <w:t xml:space="preserve"> Evitan la doble inspección, reducen la incertidumbre y acortan los tiempos de acceso al mercado.</w:t>
      </w:r>
    </w:p>
    <w:p w14:paraId="1FA3F8F5" w14:textId="77777777" w:rsidR="008E10FA" w:rsidRPr="00142999" w:rsidRDefault="008E10FA" w:rsidP="00142999">
      <w:pPr>
        <w:numPr>
          <w:ilvl w:val="0"/>
          <w:numId w:val="2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Sectores:</w:t>
      </w:r>
      <w:r w:rsidRPr="00142999">
        <w:rPr>
          <w:rFonts w:ascii="Cambria" w:hAnsi="Cambria"/>
        </w:rPr>
        <w:t xml:space="preserve"> Afectan a sectores fuertemente regulados donde los OTC son críticos.</w:t>
      </w:r>
    </w:p>
    <w:p w14:paraId="70929848" w14:textId="77777777" w:rsidR="008E10FA" w:rsidRPr="00142999" w:rsidRDefault="008E10FA" w:rsidP="00142999">
      <w:p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Estructura de los ARM:</w:t>
      </w:r>
    </w:p>
    <w:p w14:paraId="42E8F4B9" w14:textId="77777777" w:rsidR="008E10FA" w:rsidRPr="00142999" w:rsidRDefault="008E10FA" w:rsidP="00142999">
      <w:pPr>
        <w:numPr>
          <w:ilvl w:val="0"/>
          <w:numId w:val="3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Acuerdo Marco:</w:t>
      </w:r>
      <w:r w:rsidRPr="00142999">
        <w:rPr>
          <w:rFonts w:ascii="Cambria" w:hAnsi="Cambria"/>
        </w:rPr>
        <w:t xml:space="preserve"> Principios generales y procedimientos.</w:t>
      </w:r>
    </w:p>
    <w:p w14:paraId="7E012CB4" w14:textId="77777777" w:rsidR="008E10FA" w:rsidRPr="00142999" w:rsidRDefault="008E10FA" w:rsidP="00142999">
      <w:pPr>
        <w:numPr>
          <w:ilvl w:val="0"/>
          <w:numId w:val="3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Anexos Sectoriales:</w:t>
      </w:r>
      <w:r w:rsidRPr="00142999">
        <w:rPr>
          <w:rFonts w:ascii="Cambria" w:hAnsi="Cambria"/>
        </w:rPr>
        <w:t xml:space="preserve"> Detallan productos, normas aplicables y autoridades competentes para cada sector.</w:t>
      </w:r>
    </w:p>
    <w:p w14:paraId="0E1CEAE2" w14:textId="77777777" w:rsidR="008E10FA" w:rsidRPr="00142999" w:rsidRDefault="008E10FA" w:rsidP="00142999">
      <w:pPr>
        <w:numPr>
          <w:ilvl w:val="0"/>
          <w:numId w:val="3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lastRenderedPageBreak/>
        <w:t>Comité Mixto:</w:t>
      </w:r>
      <w:r w:rsidRPr="00142999">
        <w:rPr>
          <w:rFonts w:ascii="Cambria" w:hAnsi="Cambria"/>
        </w:rPr>
        <w:t xml:space="preserve"> Gestiona el acuerdo y la lista de Organismos de Evaluación de la Conformidad (CAB) designados.</w:t>
      </w:r>
    </w:p>
    <w:p w14:paraId="066B8C63" w14:textId="6442B613" w:rsidR="008E10FA" w:rsidRPr="00142999" w:rsidRDefault="008E10FA" w:rsidP="00142999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142999">
        <w:rPr>
          <w:rFonts w:ascii="Cambria" w:hAnsi="Cambria"/>
          <w:b/>
          <w:bCs/>
          <w:color w:val="auto"/>
          <w:sz w:val="24"/>
          <w:szCs w:val="24"/>
        </w:rPr>
        <w:t>2.1. ARM suscritos por la UE</w:t>
      </w:r>
    </w:p>
    <w:p w14:paraId="66F572DA" w14:textId="77777777" w:rsidR="008E10FA" w:rsidRPr="00142999" w:rsidRDefault="008E10FA" w:rsidP="00142999">
      <w:pPr>
        <w:jc w:val="both"/>
        <w:rPr>
          <w:rFonts w:ascii="Cambria" w:hAnsi="Cambria"/>
        </w:rPr>
      </w:pPr>
      <w:r w:rsidRPr="00142999">
        <w:rPr>
          <w:rFonts w:ascii="Cambria" w:hAnsi="Cambria"/>
        </w:rPr>
        <w:t>La UE ha firmado 7 ARM principales con países desarrollados:</w:t>
      </w:r>
    </w:p>
    <w:p w14:paraId="7143FA92" w14:textId="77777777" w:rsidR="008E10FA" w:rsidRPr="00142999" w:rsidRDefault="008E10FA" w:rsidP="00142999">
      <w:pPr>
        <w:numPr>
          <w:ilvl w:val="0"/>
          <w:numId w:val="4"/>
        </w:numPr>
        <w:jc w:val="both"/>
        <w:rPr>
          <w:rFonts w:ascii="Cambria" w:hAnsi="Cambria"/>
        </w:rPr>
      </w:pPr>
      <w:proofErr w:type="gramStart"/>
      <w:r w:rsidRPr="00142999">
        <w:rPr>
          <w:rFonts w:ascii="Cambria" w:hAnsi="Cambria"/>
          <w:b/>
          <w:bCs/>
        </w:rPr>
        <w:t>EEUU</w:t>
      </w:r>
      <w:proofErr w:type="gramEnd"/>
      <w:r w:rsidRPr="00142999">
        <w:rPr>
          <w:rFonts w:ascii="Cambria" w:hAnsi="Cambria"/>
          <w:b/>
          <w:bCs/>
        </w:rPr>
        <w:t xml:space="preserve"> (1998):</w:t>
      </w:r>
    </w:p>
    <w:p w14:paraId="57F0AA06" w14:textId="77777777" w:rsidR="008E10FA" w:rsidRPr="00142999" w:rsidRDefault="008E10FA" w:rsidP="00142999">
      <w:pPr>
        <w:numPr>
          <w:ilvl w:val="1"/>
          <w:numId w:val="4"/>
        </w:numPr>
        <w:jc w:val="both"/>
        <w:rPr>
          <w:rFonts w:ascii="Cambria" w:hAnsi="Cambria"/>
        </w:rPr>
      </w:pPr>
      <w:r w:rsidRPr="00142999">
        <w:rPr>
          <w:rFonts w:ascii="Cambria" w:hAnsi="Cambria"/>
        </w:rPr>
        <w:t>Sectores operativos: Compatibilidad electromagnética, Equipos de telecomunicación, Equipos marinos (acuerdo 2004).</w:t>
      </w:r>
    </w:p>
    <w:p w14:paraId="46B7931A" w14:textId="67747D4B" w:rsidR="008E10FA" w:rsidRPr="00142999" w:rsidRDefault="008E10FA" w:rsidP="00142999">
      <w:pPr>
        <w:numPr>
          <w:ilvl w:val="1"/>
          <w:numId w:val="4"/>
        </w:numPr>
        <w:jc w:val="both"/>
        <w:rPr>
          <w:rFonts w:ascii="Cambria" w:hAnsi="Cambria"/>
        </w:rPr>
      </w:pPr>
      <w:r w:rsidRPr="00142999">
        <w:rPr>
          <w:rFonts w:ascii="Cambria" w:hAnsi="Cambria"/>
        </w:rPr>
        <w:t xml:space="preserve">Otros sectores </w:t>
      </w:r>
      <w:r w:rsidR="00AE1C6C" w:rsidRPr="00142999">
        <w:rPr>
          <w:rFonts w:ascii="Cambria" w:hAnsi="Cambria"/>
        </w:rPr>
        <w:t>incluidos,</w:t>
      </w:r>
      <w:r w:rsidRPr="00142999">
        <w:rPr>
          <w:rFonts w:ascii="Cambria" w:hAnsi="Cambria"/>
        </w:rPr>
        <w:t xml:space="preserve"> pero con dificultades operativas o periodos transitorios: Seguridad eléctrica, Dispositivos médicos, Fármacos (GMP).</w:t>
      </w:r>
    </w:p>
    <w:p w14:paraId="0B932E01" w14:textId="77777777" w:rsidR="008E10FA" w:rsidRPr="00142999" w:rsidRDefault="008E10FA" w:rsidP="00142999">
      <w:pPr>
        <w:numPr>
          <w:ilvl w:val="0"/>
          <w:numId w:val="4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Canadá (1998 -&gt; CETA):</w:t>
      </w:r>
    </w:p>
    <w:p w14:paraId="2858A2DF" w14:textId="77777777" w:rsidR="008E10FA" w:rsidRPr="00142999" w:rsidRDefault="008E10FA" w:rsidP="00142999">
      <w:pPr>
        <w:numPr>
          <w:ilvl w:val="1"/>
          <w:numId w:val="4"/>
        </w:numPr>
        <w:jc w:val="both"/>
        <w:rPr>
          <w:rFonts w:ascii="Cambria" w:hAnsi="Cambria"/>
        </w:rPr>
      </w:pPr>
      <w:r w:rsidRPr="00142999">
        <w:rPr>
          <w:rFonts w:ascii="Cambria" w:hAnsi="Cambria"/>
        </w:rPr>
        <w:t>Originalmente incluía telecomunicaciones, equipos médicos, etc.</w:t>
      </w:r>
    </w:p>
    <w:p w14:paraId="6B6D1BED" w14:textId="77777777" w:rsidR="008E10FA" w:rsidRPr="00142999" w:rsidRDefault="008E10FA" w:rsidP="00142999">
      <w:pPr>
        <w:numPr>
          <w:ilvl w:val="1"/>
          <w:numId w:val="4"/>
        </w:numPr>
        <w:jc w:val="both"/>
        <w:rPr>
          <w:rFonts w:ascii="Cambria" w:hAnsi="Cambria"/>
        </w:rPr>
      </w:pPr>
      <w:r w:rsidRPr="00142999">
        <w:rPr>
          <w:rFonts w:ascii="Cambria" w:hAnsi="Cambria"/>
        </w:rPr>
        <w:t>Tras la entrada en vigor del acuerdo comercial CETA (2017), los ARM se han integrado y ampliado, cubriendo 11 sectores como juguetes, construcción, maquinaria y equipos eléctricos.</w:t>
      </w:r>
    </w:p>
    <w:p w14:paraId="53D547E9" w14:textId="77777777" w:rsidR="008E10FA" w:rsidRPr="00142999" w:rsidRDefault="008E10FA" w:rsidP="00142999">
      <w:pPr>
        <w:numPr>
          <w:ilvl w:val="0"/>
          <w:numId w:val="4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Australia (1998, modificado 2012):</w:t>
      </w:r>
    </w:p>
    <w:p w14:paraId="38349661" w14:textId="77777777" w:rsidR="008E10FA" w:rsidRPr="00142999" w:rsidRDefault="008E10FA" w:rsidP="00142999">
      <w:pPr>
        <w:numPr>
          <w:ilvl w:val="1"/>
          <w:numId w:val="4"/>
        </w:numPr>
        <w:jc w:val="both"/>
        <w:rPr>
          <w:rFonts w:ascii="Cambria" w:hAnsi="Cambria"/>
        </w:rPr>
      </w:pPr>
      <w:r w:rsidRPr="00142999">
        <w:rPr>
          <w:rFonts w:ascii="Cambria" w:hAnsi="Cambria"/>
        </w:rPr>
        <w:t>Sectores: Telecomunicaciones, Automoción, Equipos bajo voltaje, Maquinaria, Dispositivos médicos, Equipos a presión, Compatibilidad electromagnética, Fármacos (GMP).</w:t>
      </w:r>
    </w:p>
    <w:p w14:paraId="5479CDD2" w14:textId="77777777" w:rsidR="008E10FA" w:rsidRPr="00142999" w:rsidRDefault="008E10FA" w:rsidP="00142999">
      <w:pPr>
        <w:numPr>
          <w:ilvl w:val="0"/>
          <w:numId w:val="4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Nueva Zelanda (1998, modificado 2012):</w:t>
      </w:r>
    </w:p>
    <w:p w14:paraId="5FD9CF2C" w14:textId="77777777" w:rsidR="008E10FA" w:rsidRPr="00142999" w:rsidRDefault="008E10FA" w:rsidP="00142999">
      <w:pPr>
        <w:numPr>
          <w:ilvl w:val="1"/>
          <w:numId w:val="4"/>
        </w:numPr>
        <w:jc w:val="both"/>
        <w:rPr>
          <w:rFonts w:ascii="Cambria" w:hAnsi="Cambria"/>
        </w:rPr>
      </w:pPr>
      <w:r w:rsidRPr="00142999">
        <w:rPr>
          <w:rFonts w:ascii="Cambria" w:hAnsi="Cambria"/>
        </w:rPr>
        <w:t>Mismos sectores que Australia, excepto automoción.</w:t>
      </w:r>
    </w:p>
    <w:p w14:paraId="41EDBBAD" w14:textId="77777777" w:rsidR="008E10FA" w:rsidRPr="00142999" w:rsidRDefault="008E10FA" w:rsidP="00142999">
      <w:pPr>
        <w:numPr>
          <w:ilvl w:val="0"/>
          <w:numId w:val="4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Japón (2001):</w:t>
      </w:r>
    </w:p>
    <w:p w14:paraId="5845BCE1" w14:textId="77777777" w:rsidR="008E10FA" w:rsidRPr="00142999" w:rsidRDefault="008E10FA" w:rsidP="00142999">
      <w:pPr>
        <w:numPr>
          <w:ilvl w:val="1"/>
          <w:numId w:val="4"/>
        </w:numPr>
        <w:jc w:val="both"/>
        <w:rPr>
          <w:rFonts w:ascii="Cambria" w:hAnsi="Cambria"/>
        </w:rPr>
      </w:pPr>
      <w:r w:rsidRPr="00142999">
        <w:rPr>
          <w:rFonts w:ascii="Cambria" w:hAnsi="Cambria"/>
        </w:rPr>
        <w:t>Sectores: Productos eléctricos, Telecomunicaciones, Buenas Prácticas de Fabricación (GMP) de químicos y fármacos, Buenas Prácticas de Laboratorio (GLP).</w:t>
      </w:r>
    </w:p>
    <w:p w14:paraId="066BE633" w14:textId="77777777" w:rsidR="008E10FA" w:rsidRPr="00142999" w:rsidRDefault="008E10FA" w:rsidP="00142999">
      <w:pPr>
        <w:numPr>
          <w:ilvl w:val="1"/>
          <w:numId w:val="4"/>
        </w:numPr>
        <w:jc w:val="both"/>
        <w:rPr>
          <w:rFonts w:ascii="Cambria" w:hAnsi="Cambria"/>
        </w:rPr>
      </w:pPr>
      <w:r w:rsidRPr="00142999">
        <w:rPr>
          <w:rFonts w:ascii="Cambria" w:hAnsi="Cambria"/>
        </w:rPr>
        <w:t>Reforzado por el Acuerdo de Libre Comercio UE-Japón (2019).</w:t>
      </w:r>
    </w:p>
    <w:p w14:paraId="746AD990" w14:textId="77777777" w:rsidR="008E10FA" w:rsidRPr="00142999" w:rsidRDefault="008E10FA" w:rsidP="00142999">
      <w:pPr>
        <w:numPr>
          <w:ilvl w:val="0"/>
          <w:numId w:val="4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Israel (1999):</w:t>
      </w:r>
    </w:p>
    <w:p w14:paraId="42295B81" w14:textId="77777777" w:rsidR="008E10FA" w:rsidRPr="00142999" w:rsidRDefault="008E10FA" w:rsidP="00142999">
      <w:pPr>
        <w:numPr>
          <w:ilvl w:val="1"/>
          <w:numId w:val="4"/>
        </w:numPr>
        <w:jc w:val="both"/>
        <w:rPr>
          <w:rFonts w:ascii="Cambria" w:hAnsi="Cambria"/>
        </w:rPr>
      </w:pPr>
      <w:r w:rsidRPr="00142999">
        <w:rPr>
          <w:rFonts w:ascii="Cambria" w:hAnsi="Cambria"/>
        </w:rPr>
        <w:t>Basado exclusivamente en Buenas Prácticas de Laboratorio (GLP) de la OCDE y, posteriormente, un ACAA sobre fármacos.</w:t>
      </w:r>
    </w:p>
    <w:p w14:paraId="47A836CF" w14:textId="77777777" w:rsidR="008E10FA" w:rsidRPr="00142999" w:rsidRDefault="008E10FA" w:rsidP="00142999">
      <w:pPr>
        <w:numPr>
          <w:ilvl w:val="0"/>
          <w:numId w:val="4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Suiza (1999): "ARM Mejorado":</w:t>
      </w:r>
    </w:p>
    <w:p w14:paraId="1B4B7FF7" w14:textId="37A53946" w:rsidR="008E10FA" w:rsidRPr="00142999" w:rsidRDefault="008E10FA" w:rsidP="00142999">
      <w:pPr>
        <w:numPr>
          <w:ilvl w:val="1"/>
          <w:numId w:val="4"/>
        </w:numPr>
        <w:jc w:val="both"/>
        <w:rPr>
          <w:rFonts w:ascii="Cambria" w:hAnsi="Cambria"/>
        </w:rPr>
      </w:pPr>
      <w:r w:rsidRPr="00142999">
        <w:rPr>
          <w:rFonts w:ascii="Cambria" w:hAnsi="Cambria"/>
        </w:rPr>
        <w:t>Es el acuerdo más profundo. Suiza armoniza su legislación con la de la UE en los sectores cubiertos</w:t>
      </w:r>
      <w:r w:rsidR="00F7724A" w:rsidRPr="00142999">
        <w:rPr>
          <w:rFonts w:ascii="Cambria" w:hAnsi="Cambria"/>
        </w:rPr>
        <w:t>.</w:t>
      </w:r>
    </w:p>
    <w:p w14:paraId="3A78D543" w14:textId="77777777" w:rsidR="008E10FA" w:rsidRPr="00142999" w:rsidRDefault="008E10FA" w:rsidP="00142999">
      <w:pPr>
        <w:numPr>
          <w:ilvl w:val="1"/>
          <w:numId w:val="4"/>
        </w:numPr>
        <w:jc w:val="both"/>
        <w:rPr>
          <w:rFonts w:ascii="Cambria" w:hAnsi="Cambria"/>
        </w:rPr>
      </w:pPr>
      <w:r w:rsidRPr="00142999">
        <w:rPr>
          <w:rFonts w:ascii="Cambria" w:hAnsi="Cambria"/>
        </w:rPr>
        <w:lastRenderedPageBreak/>
        <w:t>Permite acceso ininterrumpido al mercado.</w:t>
      </w:r>
    </w:p>
    <w:p w14:paraId="489A3D76" w14:textId="77777777" w:rsidR="008E10FA" w:rsidRPr="00142999" w:rsidRDefault="008E10FA" w:rsidP="00142999">
      <w:pPr>
        <w:numPr>
          <w:ilvl w:val="1"/>
          <w:numId w:val="4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20 sectores cubiertos:</w:t>
      </w:r>
      <w:r w:rsidRPr="00142999">
        <w:rPr>
          <w:rFonts w:ascii="Cambria" w:hAnsi="Cambria"/>
        </w:rPr>
        <w:t xml:space="preserve"> Maquinaria, </w:t>
      </w:r>
      <w:proofErr w:type="spellStart"/>
      <w:r w:rsidRPr="00142999">
        <w:rPr>
          <w:rFonts w:ascii="Cambria" w:hAnsi="Cambria"/>
        </w:rPr>
        <w:t>EPIs</w:t>
      </w:r>
      <w:proofErr w:type="spellEnd"/>
      <w:r w:rsidRPr="00142999">
        <w:rPr>
          <w:rFonts w:ascii="Cambria" w:hAnsi="Cambria"/>
        </w:rPr>
        <w:t>, Juguetes, Productos sanitarios, Calderas, Ascensores, Explosivos, Vehículos, Tractores, Biocidas, etc.</w:t>
      </w:r>
    </w:p>
    <w:p w14:paraId="6034B4B4" w14:textId="674D70E1" w:rsidR="008E10FA" w:rsidRPr="00142999" w:rsidRDefault="008E10FA" w:rsidP="00142999">
      <w:pPr>
        <w:numPr>
          <w:ilvl w:val="1"/>
          <w:numId w:val="4"/>
        </w:numPr>
        <w:jc w:val="both"/>
        <w:rPr>
          <w:rFonts w:ascii="Cambria" w:hAnsi="Cambria"/>
        </w:rPr>
      </w:pPr>
      <w:r w:rsidRPr="00142999">
        <w:rPr>
          <w:rFonts w:ascii="Cambria" w:hAnsi="Cambria"/>
        </w:rPr>
        <w:t>Suiza participa en la normalización europea (CEN</w:t>
      </w:r>
      <w:r w:rsidR="00F7724A" w:rsidRPr="00142999">
        <w:rPr>
          <w:rFonts w:ascii="Cambria" w:hAnsi="Cambria"/>
        </w:rPr>
        <w:t xml:space="preserve">, </w:t>
      </w:r>
      <w:r w:rsidRPr="00142999">
        <w:rPr>
          <w:rFonts w:ascii="Cambria" w:hAnsi="Cambria"/>
        </w:rPr>
        <w:t>CENELEC</w:t>
      </w:r>
      <w:r w:rsidR="00F7724A" w:rsidRPr="00142999">
        <w:rPr>
          <w:rFonts w:ascii="Cambria" w:hAnsi="Cambria"/>
        </w:rPr>
        <w:t xml:space="preserve"> y </w:t>
      </w:r>
      <w:r w:rsidRPr="00142999">
        <w:rPr>
          <w:rFonts w:ascii="Cambria" w:hAnsi="Cambria"/>
        </w:rPr>
        <w:t>ETSI) y su acreditación es reconocida.</w:t>
      </w:r>
    </w:p>
    <w:p w14:paraId="61053940" w14:textId="77777777" w:rsidR="008E10FA" w:rsidRPr="00142999" w:rsidRDefault="008E10FA" w:rsidP="0014299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142999">
        <w:rPr>
          <w:rFonts w:ascii="Cambria" w:hAnsi="Cambria"/>
          <w:b/>
          <w:bCs/>
          <w:color w:val="auto"/>
          <w:sz w:val="28"/>
          <w:szCs w:val="28"/>
        </w:rPr>
        <w:t>3. ACUERDOS ACAA (Evaluación de la Conformidad y Aceptación de Productos Industriales)</w:t>
      </w:r>
    </w:p>
    <w:p w14:paraId="2072409E" w14:textId="041656D4" w:rsidR="008E10FA" w:rsidRPr="00142999" w:rsidRDefault="008E10FA" w:rsidP="00142999">
      <w:pPr>
        <w:jc w:val="both"/>
        <w:rPr>
          <w:rFonts w:ascii="Cambria" w:hAnsi="Cambria"/>
          <w:u w:val="single"/>
        </w:rPr>
      </w:pPr>
      <w:r w:rsidRPr="00142999">
        <w:rPr>
          <w:rFonts w:ascii="Cambria" w:hAnsi="Cambria"/>
        </w:rPr>
        <w:t xml:space="preserve">Son un tipo específico de ARM diseñado para los países de la </w:t>
      </w:r>
      <w:r w:rsidRPr="00142999">
        <w:rPr>
          <w:rFonts w:ascii="Cambria" w:hAnsi="Cambria"/>
          <w:u w:val="single"/>
        </w:rPr>
        <w:t>Política Europea de Vecindad</w:t>
      </w:r>
      <w:r w:rsidR="00F7724A" w:rsidRPr="00142999">
        <w:rPr>
          <w:rFonts w:ascii="Cambria" w:hAnsi="Cambria"/>
          <w:u w:val="single"/>
        </w:rPr>
        <w:t>.</w:t>
      </w:r>
    </w:p>
    <w:p w14:paraId="5A25A43F" w14:textId="77777777" w:rsidR="008E10FA" w:rsidRPr="00142999" w:rsidRDefault="008E10FA" w:rsidP="00142999">
      <w:p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  <w:u w:val="single"/>
        </w:rPr>
        <w:t>Diferencia clave con el ARM tradicional:</w:t>
      </w:r>
      <w:r w:rsidRPr="00142999">
        <w:rPr>
          <w:rFonts w:ascii="Cambria" w:hAnsi="Cambria"/>
        </w:rPr>
        <w:t xml:space="preserve"> Los ACAA exigen la plena armonización del sistema legislativo y de la infraestructura de calidad del país socio con el modelo de la UE.</w:t>
      </w:r>
    </w:p>
    <w:p w14:paraId="711ADD39" w14:textId="77777777" w:rsidR="008E10FA" w:rsidRPr="00142999" w:rsidRDefault="008E10FA" w:rsidP="00142999">
      <w:pPr>
        <w:numPr>
          <w:ilvl w:val="0"/>
          <w:numId w:val="5"/>
        </w:numPr>
        <w:jc w:val="both"/>
        <w:rPr>
          <w:rFonts w:ascii="Cambria" w:hAnsi="Cambria"/>
        </w:rPr>
      </w:pPr>
      <w:r w:rsidRPr="00142999">
        <w:rPr>
          <w:rFonts w:ascii="Cambria" w:hAnsi="Cambria"/>
        </w:rPr>
        <w:t>El país socio debe transponer las Directivas europeas y adoptar las normas armonizadas (EN).</w:t>
      </w:r>
    </w:p>
    <w:p w14:paraId="2EA5D9D4" w14:textId="080496D5" w:rsidR="008E10FA" w:rsidRPr="00142999" w:rsidRDefault="008E10FA" w:rsidP="00142999">
      <w:pPr>
        <w:numPr>
          <w:ilvl w:val="0"/>
          <w:numId w:val="5"/>
        </w:numPr>
        <w:jc w:val="both"/>
        <w:rPr>
          <w:rFonts w:ascii="Cambria" w:hAnsi="Cambria"/>
        </w:rPr>
      </w:pPr>
      <w:r w:rsidRPr="00142999">
        <w:rPr>
          <w:rFonts w:ascii="Cambria" w:hAnsi="Cambria"/>
        </w:rPr>
        <w:t>Una vez logrado, los productos industriales circulan libremente sin controles técnicos adicionales, como si fueran parte del Mercado Interior</w:t>
      </w:r>
      <w:r w:rsidR="00F7724A" w:rsidRPr="00142999">
        <w:rPr>
          <w:rFonts w:ascii="Cambria" w:hAnsi="Cambria"/>
        </w:rPr>
        <w:t>.</w:t>
      </w:r>
    </w:p>
    <w:p w14:paraId="2BA27940" w14:textId="77777777" w:rsidR="008E10FA" w:rsidRPr="00142999" w:rsidRDefault="008E10FA" w:rsidP="00142999">
      <w:p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Países Objetivo:</w:t>
      </w:r>
    </w:p>
    <w:p w14:paraId="131260EC" w14:textId="77777777" w:rsidR="008E10FA" w:rsidRPr="00142999" w:rsidRDefault="008E10FA" w:rsidP="00142999">
      <w:pPr>
        <w:numPr>
          <w:ilvl w:val="0"/>
          <w:numId w:val="6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Mediterráneo:</w:t>
      </w:r>
      <w:r w:rsidRPr="00142999">
        <w:rPr>
          <w:rFonts w:ascii="Cambria" w:hAnsi="Cambria"/>
        </w:rPr>
        <w:t xml:space="preserve"> Argelia, Egipto, Israel, Jordania, Líbano, Marruecos, Palestina, Túnez.</w:t>
      </w:r>
    </w:p>
    <w:p w14:paraId="431CFAF3" w14:textId="77777777" w:rsidR="008E10FA" w:rsidRPr="00142999" w:rsidRDefault="008E10FA" w:rsidP="00142999">
      <w:pPr>
        <w:numPr>
          <w:ilvl w:val="0"/>
          <w:numId w:val="6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Este:</w:t>
      </w:r>
      <w:r w:rsidRPr="00142999">
        <w:rPr>
          <w:rFonts w:ascii="Cambria" w:hAnsi="Cambria"/>
        </w:rPr>
        <w:t xml:space="preserve"> Armenia, Azerbaiyán, Bielorrusia, Georgia, Moldavia, Ucrania.</w:t>
      </w:r>
    </w:p>
    <w:p w14:paraId="49D4257A" w14:textId="77777777" w:rsidR="008E10FA" w:rsidRPr="00142999" w:rsidRDefault="008E10FA" w:rsidP="00142999">
      <w:p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Requisitos previos (Infraestructura de la Calidad):</w:t>
      </w:r>
      <w:r w:rsidRPr="00142999">
        <w:rPr>
          <w:rFonts w:ascii="Cambria" w:hAnsi="Cambria"/>
        </w:rPr>
        <w:t xml:space="preserve"> Para firmar un ACAA, el país debe modernizar su infraestructura:</w:t>
      </w:r>
    </w:p>
    <w:p w14:paraId="6AAE940E" w14:textId="77777777" w:rsidR="008E10FA" w:rsidRPr="00142999" w:rsidRDefault="008E10FA" w:rsidP="00142999">
      <w:pPr>
        <w:numPr>
          <w:ilvl w:val="0"/>
          <w:numId w:val="7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Normalización:</w:t>
      </w:r>
      <w:r w:rsidRPr="00142999">
        <w:rPr>
          <w:rFonts w:ascii="Cambria" w:hAnsi="Cambria"/>
        </w:rPr>
        <w:t xml:space="preserve"> Adoptar normas EN y retirar las nacionales conflictivas.</w:t>
      </w:r>
    </w:p>
    <w:p w14:paraId="4672DC04" w14:textId="77777777" w:rsidR="008E10FA" w:rsidRPr="00142999" w:rsidRDefault="008E10FA" w:rsidP="00142999">
      <w:pPr>
        <w:numPr>
          <w:ilvl w:val="0"/>
          <w:numId w:val="7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Acreditación:</w:t>
      </w:r>
      <w:r w:rsidRPr="00142999">
        <w:rPr>
          <w:rFonts w:ascii="Cambria" w:hAnsi="Cambria"/>
        </w:rPr>
        <w:t xml:space="preserve"> Crear un organismo nacional que cumpla estándares europeos (EA).</w:t>
      </w:r>
    </w:p>
    <w:p w14:paraId="3F6F53C1" w14:textId="77777777" w:rsidR="008E10FA" w:rsidRPr="00142999" w:rsidRDefault="008E10FA" w:rsidP="00142999">
      <w:pPr>
        <w:numPr>
          <w:ilvl w:val="0"/>
          <w:numId w:val="7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Metrología:</w:t>
      </w:r>
      <w:r w:rsidRPr="00142999">
        <w:rPr>
          <w:rFonts w:ascii="Cambria" w:hAnsi="Cambria"/>
        </w:rPr>
        <w:t xml:space="preserve"> Afiliación a organismos internacionales (WELMEC, EURAMET).</w:t>
      </w:r>
    </w:p>
    <w:p w14:paraId="2CECE5D6" w14:textId="77777777" w:rsidR="008E10FA" w:rsidRPr="00142999" w:rsidRDefault="008E10FA" w:rsidP="00142999">
      <w:pPr>
        <w:numPr>
          <w:ilvl w:val="0"/>
          <w:numId w:val="7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Vigilancia de mercado:</w:t>
      </w:r>
      <w:r w:rsidRPr="00142999">
        <w:rPr>
          <w:rFonts w:ascii="Cambria" w:hAnsi="Cambria"/>
        </w:rPr>
        <w:t xml:space="preserve"> Sistemas alineados con la UE.</w:t>
      </w:r>
    </w:p>
    <w:p w14:paraId="173A0A9A" w14:textId="77777777" w:rsidR="008E10FA" w:rsidRPr="00142999" w:rsidRDefault="008E10FA" w:rsidP="00142999">
      <w:p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Estado actual:</w:t>
      </w:r>
    </w:p>
    <w:p w14:paraId="28B570D7" w14:textId="77777777" w:rsidR="008E10FA" w:rsidRPr="00142999" w:rsidRDefault="008E10FA" w:rsidP="00142999">
      <w:pPr>
        <w:numPr>
          <w:ilvl w:val="0"/>
          <w:numId w:val="8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Israel:</w:t>
      </w:r>
      <w:r w:rsidRPr="00142999">
        <w:rPr>
          <w:rFonts w:ascii="Cambria" w:hAnsi="Cambria"/>
        </w:rPr>
        <w:t xml:space="preserve"> Primer ACAA en vigor (2013) sobre Buenas Prácticas de Fabricación (GMP) de productos farmacéuticos.</w:t>
      </w:r>
    </w:p>
    <w:p w14:paraId="53B6B91A" w14:textId="77777777" w:rsidR="008E10FA" w:rsidRPr="00142999" w:rsidRDefault="008E10FA" w:rsidP="00142999">
      <w:pPr>
        <w:numPr>
          <w:ilvl w:val="0"/>
          <w:numId w:val="8"/>
        </w:numPr>
        <w:jc w:val="both"/>
        <w:rPr>
          <w:rFonts w:ascii="Cambria" w:hAnsi="Cambria"/>
        </w:rPr>
      </w:pPr>
      <w:r w:rsidRPr="00142999">
        <w:rPr>
          <w:rFonts w:ascii="Cambria" w:hAnsi="Cambria"/>
          <w:b/>
          <w:bCs/>
        </w:rPr>
        <w:t>Candidatos avanzados:</w:t>
      </w:r>
      <w:r w:rsidRPr="00142999">
        <w:rPr>
          <w:rFonts w:ascii="Cambria" w:hAnsi="Cambria"/>
        </w:rPr>
        <w:t xml:space="preserve"> Marruecos y Jordania (en preparación).</w:t>
      </w:r>
    </w:p>
    <w:p w14:paraId="23E801D9" w14:textId="77777777" w:rsidR="008E10FA" w:rsidRPr="00142999" w:rsidRDefault="008E10FA" w:rsidP="00142999">
      <w:pPr>
        <w:numPr>
          <w:ilvl w:val="0"/>
          <w:numId w:val="8"/>
        </w:numPr>
        <w:jc w:val="both"/>
        <w:rPr>
          <w:rFonts w:ascii="Cambria" w:hAnsi="Cambria"/>
        </w:rPr>
      </w:pPr>
      <w:r w:rsidRPr="00142999">
        <w:rPr>
          <w:rFonts w:ascii="Cambria" w:hAnsi="Cambria"/>
        </w:rPr>
        <w:lastRenderedPageBreak/>
        <w:t>Otros países reciben asistencia técnica para adaptar sus legislaciones.</w:t>
      </w:r>
    </w:p>
    <w:p w14:paraId="00AB101B" w14:textId="21962FC9" w:rsidR="00F7724A" w:rsidRPr="00142999" w:rsidRDefault="00F7724A" w:rsidP="0014299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142999">
        <w:rPr>
          <w:rFonts w:ascii="Cambria" w:hAnsi="Cambria"/>
          <w:b/>
          <w:bCs/>
          <w:color w:val="auto"/>
          <w:sz w:val="28"/>
          <w:szCs w:val="28"/>
        </w:rPr>
        <w:t>4.</w:t>
      </w:r>
      <w:r w:rsidR="008E10FA" w:rsidRPr="00142999">
        <w:rPr>
          <w:rFonts w:ascii="Cambria" w:hAnsi="Cambria"/>
          <w:b/>
          <w:bCs/>
          <w:color w:val="auto"/>
          <w:sz w:val="28"/>
          <w:szCs w:val="28"/>
        </w:rPr>
        <w:t>C</w:t>
      </w:r>
      <w:r w:rsidRPr="00142999">
        <w:rPr>
          <w:rFonts w:ascii="Cambria" w:hAnsi="Cambria"/>
          <w:b/>
          <w:bCs/>
          <w:color w:val="auto"/>
          <w:sz w:val="28"/>
          <w:szCs w:val="28"/>
        </w:rPr>
        <w:t>ONLUSIÓN</w:t>
      </w:r>
    </w:p>
    <w:p w14:paraId="169BAEC9" w14:textId="28D14E06" w:rsidR="008E10FA" w:rsidRPr="00142999" w:rsidRDefault="008E10FA" w:rsidP="00142999">
      <w:pPr>
        <w:jc w:val="both"/>
        <w:rPr>
          <w:rFonts w:ascii="Cambria" w:hAnsi="Cambria"/>
        </w:rPr>
      </w:pPr>
      <w:r w:rsidRPr="00142999">
        <w:rPr>
          <w:rFonts w:ascii="Cambria" w:hAnsi="Cambria"/>
        </w:rPr>
        <w:t>Tanto los ARM como los ACAA dependen de la confianza en la Infraestructura de la Calidad (normalización, metrología y acreditación) de las partes. Son herramientas esenciales para facilitar el comercio técnico y reducir costes a los exportadores.</w:t>
      </w:r>
    </w:p>
    <w:p w14:paraId="6C417B18" w14:textId="77777777" w:rsidR="00A65383" w:rsidRPr="00142999" w:rsidRDefault="00A65383" w:rsidP="00142999">
      <w:pPr>
        <w:jc w:val="both"/>
        <w:rPr>
          <w:rFonts w:ascii="Cambria" w:hAnsi="Cambria"/>
        </w:rPr>
      </w:pPr>
    </w:p>
    <w:sectPr w:rsidR="00A65383" w:rsidRPr="00142999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20578" w14:textId="77777777" w:rsidR="0089793E" w:rsidRDefault="0089793E" w:rsidP="0089793E">
      <w:pPr>
        <w:spacing w:after="0" w:line="240" w:lineRule="auto"/>
      </w:pPr>
      <w:r>
        <w:separator/>
      </w:r>
    </w:p>
  </w:endnote>
  <w:endnote w:type="continuationSeparator" w:id="0">
    <w:p w14:paraId="542D7094" w14:textId="77777777" w:rsidR="0089793E" w:rsidRDefault="0089793E" w:rsidP="008979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670B96" w14:textId="77777777" w:rsidR="0089793E" w:rsidRDefault="0089793E" w:rsidP="0089793E">
      <w:pPr>
        <w:spacing w:after="0" w:line="240" w:lineRule="auto"/>
      </w:pPr>
      <w:r>
        <w:separator/>
      </w:r>
    </w:p>
  </w:footnote>
  <w:footnote w:type="continuationSeparator" w:id="0">
    <w:p w14:paraId="16D0F217" w14:textId="77777777" w:rsidR="0089793E" w:rsidRDefault="0089793E" w:rsidP="008979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D3D64" w14:textId="05798160" w:rsidR="0089793E" w:rsidRPr="0089793E" w:rsidRDefault="0089793E" w:rsidP="0089793E">
    <w:pPr>
      <w:pStyle w:val="Encabezado"/>
      <w:jc w:val="both"/>
      <w:rPr>
        <w:rFonts w:ascii="Palatino Linotype" w:hAnsi="Palatino Linotype"/>
        <w:i/>
        <w:iCs/>
      </w:rPr>
    </w:pPr>
    <w:r w:rsidRPr="0089793E">
      <w:rPr>
        <w:rFonts w:ascii="Palatino Linotype" w:hAnsi="Palatino Linotype"/>
        <w:b/>
        <w:bCs/>
        <w:i/>
        <w:iCs/>
      </w:rPr>
      <w:t>TEMA 31 -</w:t>
    </w:r>
    <w:r w:rsidRPr="0089793E">
      <w:rPr>
        <w:rFonts w:ascii="Palatino Linotype" w:hAnsi="Palatino Linotype"/>
        <w:i/>
        <w:iCs/>
      </w:rPr>
      <w:t xml:space="preserve"> Acuerdos de reconocimiento mutuo sobre evaluación de la conformidad (ARM). Acuerdos sobre Evaluación de Conformidad y aceptación de productos industriales (ACAA). Acuerdos suscritos por la UE y sectores cubiertos.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94526"/>
    <w:multiLevelType w:val="multilevel"/>
    <w:tmpl w:val="1464B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902F67"/>
    <w:multiLevelType w:val="multilevel"/>
    <w:tmpl w:val="9272A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841C9A"/>
    <w:multiLevelType w:val="multilevel"/>
    <w:tmpl w:val="10BC6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896878"/>
    <w:multiLevelType w:val="multilevel"/>
    <w:tmpl w:val="0E706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D241A2"/>
    <w:multiLevelType w:val="multilevel"/>
    <w:tmpl w:val="4E48B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1D1E2E"/>
    <w:multiLevelType w:val="multilevel"/>
    <w:tmpl w:val="E5966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84280B"/>
    <w:multiLevelType w:val="multilevel"/>
    <w:tmpl w:val="D9286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DC6B6D"/>
    <w:multiLevelType w:val="multilevel"/>
    <w:tmpl w:val="FE744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88562030">
    <w:abstractNumId w:val="2"/>
  </w:num>
  <w:num w:numId="2" w16cid:durableId="189802805">
    <w:abstractNumId w:val="1"/>
  </w:num>
  <w:num w:numId="3" w16cid:durableId="1754424432">
    <w:abstractNumId w:val="0"/>
  </w:num>
  <w:num w:numId="4" w16cid:durableId="1725447838">
    <w:abstractNumId w:val="7"/>
  </w:num>
  <w:num w:numId="5" w16cid:durableId="1903904651">
    <w:abstractNumId w:val="5"/>
  </w:num>
  <w:num w:numId="6" w16cid:durableId="1536894125">
    <w:abstractNumId w:val="6"/>
  </w:num>
  <w:num w:numId="7" w16cid:durableId="1715231555">
    <w:abstractNumId w:val="3"/>
  </w:num>
  <w:num w:numId="8" w16cid:durableId="786465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0FA"/>
    <w:rsid w:val="00141938"/>
    <w:rsid w:val="00142999"/>
    <w:rsid w:val="005803BC"/>
    <w:rsid w:val="006464CA"/>
    <w:rsid w:val="006C2EC0"/>
    <w:rsid w:val="0089793E"/>
    <w:rsid w:val="008E10FA"/>
    <w:rsid w:val="00A65383"/>
    <w:rsid w:val="00A8675C"/>
    <w:rsid w:val="00AE1C6C"/>
    <w:rsid w:val="00C12CFD"/>
    <w:rsid w:val="00F7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B10261"/>
  <w15:chartTrackingRefBased/>
  <w15:docId w15:val="{CD9CFFBE-E2F2-4653-A3E6-8830FC704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E10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E10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E10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E10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E10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E10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E10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E10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E10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8E10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E10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E10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E10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E10F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E10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E10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E10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E10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E10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E10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E10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E10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E10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E10FA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8E10F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E10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E10F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E10F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979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793E"/>
  </w:style>
  <w:style w:type="paragraph" w:styleId="Piedepgina">
    <w:name w:val="footer"/>
    <w:basedOn w:val="Normal"/>
    <w:link w:val="PiedepginaCar"/>
    <w:uiPriority w:val="99"/>
    <w:unhideWhenUsed/>
    <w:rsid w:val="008979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79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4</Pages>
  <Words>794</Words>
  <Characters>4368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4</cp:revision>
  <dcterms:created xsi:type="dcterms:W3CDTF">2025-11-24T09:22:00Z</dcterms:created>
  <dcterms:modified xsi:type="dcterms:W3CDTF">2026-01-14T14:28:00Z</dcterms:modified>
</cp:coreProperties>
</file>