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5A4BB" w14:textId="77777777" w:rsidR="00EB10B4" w:rsidRPr="00AB44B8" w:rsidRDefault="00EB10B4" w:rsidP="00AB44B8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AB44B8">
        <w:rPr>
          <w:rFonts w:ascii="Cambria" w:hAnsi="Cambria"/>
          <w:b/>
          <w:bCs/>
          <w:color w:val="auto"/>
          <w:sz w:val="28"/>
          <w:szCs w:val="28"/>
        </w:rPr>
        <w:t>1. Introducción y Antecedentes</w:t>
      </w:r>
    </w:p>
    <w:p w14:paraId="046D3F8D" w14:textId="77777777" w:rsidR="00EB10B4" w:rsidRPr="00AB44B8" w:rsidRDefault="00EB10B4" w:rsidP="00AB44B8">
      <w:pPr>
        <w:numPr>
          <w:ilvl w:val="0"/>
          <w:numId w:val="1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Contexto:</w:t>
      </w:r>
      <w:r w:rsidRPr="00AB44B8">
        <w:rPr>
          <w:rFonts w:ascii="Cambria" w:hAnsi="Cambria"/>
        </w:rPr>
        <w:t xml:space="preserve"> La economía global actual es fruto de cambios políticos y financieros que ofrecen beneficios (mejores condiciones de vida) y desafíos que requieren una sólida arquitectura financiera internacional.</w:t>
      </w:r>
    </w:p>
    <w:p w14:paraId="6E2BBEBD" w14:textId="77777777" w:rsidR="00EB10B4" w:rsidRPr="00AB44B8" w:rsidRDefault="00EB10B4" w:rsidP="00AB44B8">
      <w:pPr>
        <w:numPr>
          <w:ilvl w:val="0"/>
          <w:numId w:val="1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Origen:</w:t>
      </w:r>
    </w:p>
    <w:p w14:paraId="1F41538B" w14:textId="77777777" w:rsidR="00EB10B4" w:rsidRPr="00AB44B8" w:rsidRDefault="00EB10B4" w:rsidP="00AB44B8">
      <w:pPr>
        <w:numPr>
          <w:ilvl w:val="1"/>
          <w:numId w:val="1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Surge de la conferencia de Bretton Woods (julio 1944) junto al Banco Mundial.</w:t>
      </w:r>
    </w:p>
    <w:p w14:paraId="282ED124" w14:textId="77777777" w:rsidR="00EB10B4" w:rsidRPr="00AB44B8" w:rsidRDefault="00EB10B4" w:rsidP="00AB44B8">
      <w:pPr>
        <w:numPr>
          <w:ilvl w:val="1"/>
          <w:numId w:val="1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Oficialización: Diciembre 1945 con la firma del Convenio Constitutivo.</w:t>
      </w:r>
    </w:p>
    <w:p w14:paraId="271A1D28" w14:textId="77777777" w:rsidR="00EB10B4" w:rsidRPr="00AB44B8" w:rsidRDefault="00EB10B4" w:rsidP="00AB44B8">
      <w:pPr>
        <w:numPr>
          <w:ilvl w:val="1"/>
          <w:numId w:val="1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Inicio de actividad: 1947 (Francia fue el primer prestatario).</w:t>
      </w:r>
    </w:p>
    <w:p w14:paraId="2FDD6185" w14:textId="77777777" w:rsidR="00EB10B4" w:rsidRPr="00AB44B8" w:rsidRDefault="00EB10B4" w:rsidP="00AB44B8">
      <w:pPr>
        <w:numPr>
          <w:ilvl w:val="1"/>
          <w:numId w:val="1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Naturaleza: Agencia Especializada de la ONU, con sede en Washington.</w:t>
      </w:r>
    </w:p>
    <w:p w14:paraId="5AF30AEC" w14:textId="77777777" w:rsidR="00EB10B4" w:rsidRPr="00AB44B8" w:rsidRDefault="00EB10B4" w:rsidP="00AB44B8">
      <w:pPr>
        <w:numPr>
          <w:ilvl w:val="0"/>
          <w:numId w:val="1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Causas de su creación:</w:t>
      </w:r>
    </w:p>
    <w:p w14:paraId="38F6F73F" w14:textId="77777777" w:rsidR="00EB10B4" w:rsidRPr="00AB44B8" w:rsidRDefault="00EB10B4" w:rsidP="00AB44B8">
      <w:pPr>
        <w:numPr>
          <w:ilvl w:val="1"/>
          <w:numId w:val="1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Respuesta a la Gran Depresión de 1929: Recesión, caída del comercio, devaluaciones competitivas e inestabilidad cambiaria tras el colapso del patrón oro.</w:t>
      </w:r>
    </w:p>
    <w:p w14:paraId="7577FADC" w14:textId="77777777" w:rsidR="00EB10B4" w:rsidRPr="00AB44B8" w:rsidRDefault="00EB10B4" w:rsidP="00AB44B8">
      <w:pPr>
        <w:numPr>
          <w:ilvl w:val="1"/>
          <w:numId w:val="1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Objetivo inicial: Regular y vigilar el sistema monetario internacional y estabilizar los tipos de cambio.</w:t>
      </w:r>
    </w:p>
    <w:p w14:paraId="16DFB4FF" w14:textId="77777777" w:rsidR="00EB10B4" w:rsidRPr="00AB44B8" w:rsidRDefault="00EB10B4" w:rsidP="00AB44B8">
      <w:pPr>
        <w:numPr>
          <w:ilvl w:val="0"/>
          <w:numId w:val="1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Evolución:</w:t>
      </w:r>
    </w:p>
    <w:p w14:paraId="1F2F63D8" w14:textId="77777777" w:rsidR="00EB10B4" w:rsidRPr="00AB44B8" w:rsidRDefault="00EB10B4" w:rsidP="00AB44B8">
      <w:pPr>
        <w:numPr>
          <w:ilvl w:val="1"/>
          <w:numId w:val="1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Sistema de Paridades (Bretton Woods):</w:t>
      </w:r>
      <w:r w:rsidRPr="00AB44B8">
        <w:rPr>
          <w:rFonts w:ascii="Cambria" w:hAnsi="Cambria"/>
        </w:rPr>
        <w:t xml:space="preserve"> Tipos de cambio fijos respecto al dólar (y este al oro). Duró hasta 1971, cuando EE. UU. suspendió la convertibilidad del dólar.</w:t>
      </w:r>
    </w:p>
    <w:p w14:paraId="78161AB3" w14:textId="77777777" w:rsidR="00EB10B4" w:rsidRPr="00AB44B8" w:rsidRDefault="00EB10B4" w:rsidP="00AB44B8">
      <w:pPr>
        <w:numPr>
          <w:ilvl w:val="1"/>
          <w:numId w:val="1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Expansión: Aumento de miembros en los 50 y 60 (independencia de países africanos), aunque limitado inicialmente por la Guerra Fría. Actualmente cuenta con 190 miembros.</w:t>
      </w:r>
    </w:p>
    <w:p w14:paraId="030B3EF1" w14:textId="77777777" w:rsidR="00EB10B4" w:rsidRPr="00AB44B8" w:rsidRDefault="00EB10B4" w:rsidP="00AB44B8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AB44B8">
        <w:rPr>
          <w:rFonts w:ascii="Cambria" w:hAnsi="Cambria"/>
          <w:b/>
          <w:bCs/>
          <w:color w:val="auto"/>
          <w:sz w:val="28"/>
          <w:szCs w:val="28"/>
        </w:rPr>
        <w:t>2. Objetivos y Funciones</w:t>
      </w:r>
    </w:p>
    <w:p w14:paraId="617A450B" w14:textId="77777777" w:rsidR="00EB10B4" w:rsidRPr="00AB44B8" w:rsidRDefault="00EB10B4" w:rsidP="00AB44B8">
      <w:pPr>
        <w:jc w:val="both"/>
        <w:rPr>
          <w:rFonts w:ascii="Cambria" w:hAnsi="Cambria"/>
        </w:rPr>
      </w:pPr>
      <w:r w:rsidRPr="00AB44B8">
        <w:rPr>
          <w:rFonts w:ascii="Cambria" w:hAnsi="Cambria"/>
        </w:rPr>
        <w:t>El FMI promueve la estabilidad financiera, la cooperación monetaria, el comercio internacional, el empleo y el crecimiento sostenible.</w:t>
      </w:r>
    </w:p>
    <w:p w14:paraId="2AB79842" w14:textId="77777777" w:rsidR="00EB10B4" w:rsidRPr="00AB44B8" w:rsidRDefault="00EB10B4" w:rsidP="00AB44B8">
      <w:pPr>
        <w:numPr>
          <w:ilvl w:val="0"/>
          <w:numId w:val="2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Responsabilidad Principal:</w:t>
      </w:r>
      <w:r w:rsidRPr="00AB44B8">
        <w:rPr>
          <w:rFonts w:ascii="Cambria" w:hAnsi="Cambria"/>
        </w:rPr>
        <w:t xml:space="preserve"> Asegurar la estabilidad del sistema monetario internacional (sistema de pagos y tipos de cambio).</w:t>
      </w:r>
    </w:p>
    <w:p w14:paraId="6058DD9D" w14:textId="77777777" w:rsidR="00EB10B4" w:rsidRPr="00AB44B8" w:rsidRDefault="00EB10B4" w:rsidP="00AB44B8">
      <w:pPr>
        <w:numPr>
          <w:ilvl w:val="0"/>
          <w:numId w:val="2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Funciones Clave:</w:t>
      </w:r>
    </w:p>
    <w:p w14:paraId="4C3AAE5F" w14:textId="77777777" w:rsidR="00EB10B4" w:rsidRPr="00AB44B8" w:rsidRDefault="00EB10B4" w:rsidP="00AB44B8">
      <w:pPr>
        <w:numPr>
          <w:ilvl w:val="1"/>
          <w:numId w:val="2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Supervisión:</w:t>
      </w:r>
    </w:p>
    <w:p w14:paraId="0240404B" w14:textId="77777777" w:rsidR="00EB10B4" w:rsidRPr="00AB44B8" w:rsidRDefault="00EB10B4" w:rsidP="00AB44B8">
      <w:pPr>
        <w:numPr>
          <w:ilvl w:val="2"/>
          <w:numId w:val="8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Monitoreo de políticas económicas y situación financiera nacional, regional y mundial.</w:t>
      </w:r>
    </w:p>
    <w:p w14:paraId="75EF1F30" w14:textId="77777777" w:rsidR="00EB10B4" w:rsidRPr="00AB44B8" w:rsidRDefault="00EB10B4" w:rsidP="00AB44B8">
      <w:pPr>
        <w:numPr>
          <w:ilvl w:val="2"/>
          <w:numId w:val="8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lastRenderedPageBreak/>
        <w:t>Informes:</w:t>
      </w:r>
      <w:r w:rsidRPr="00AB44B8">
        <w:rPr>
          <w:rFonts w:ascii="Cambria" w:hAnsi="Cambria"/>
        </w:rPr>
        <w:t xml:space="preserve"> </w:t>
      </w:r>
      <w:r w:rsidRPr="00AB44B8">
        <w:rPr>
          <w:rFonts w:ascii="Cambria" w:hAnsi="Cambria"/>
          <w:i/>
          <w:iCs/>
        </w:rPr>
        <w:t>Perspectivas de la Economía Mundial</w:t>
      </w:r>
      <w:r w:rsidRPr="00AB44B8">
        <w:rPr>
          <w:rFonts w:ascii="Cambria" w:hAnsi="Cambria"/>
        </w:rPr>
        <w:t xml:space="preserve"> (WEO), </w:t>
      </w:r>
      <w:r w:rsidRPr="00AB44B8">
        <w:rPr>
          <w:rFonts w:ascii="Cambria" w:hAnsi="Cambria"/>
          <w:i/>
          <w:iCs/>
        </w:rPr>
        <w:t>Global Financial Stability Report</w:t>
      </w:r>
      <w:r w:rsidRPr="00AB44B8">
        <w:rPr>
          <w:rFonts w:ascii="Cambria" w:hAnsi="Cambria"/>
        </w:rPr>
        <w:t xml:space="preserve"> y </w:t>
      </w:r>
      <w:r w:rsidRPr="00AB44B8">
        <w:rPr>
          <w:rFonts w:ascii="Cambria" w:hAnsi="Cambria"/>
          <w:i/>
          <w:iCs/>
        </w:rPr>
        <w:t>Fiscal Monitor</w:t>
      </w:r>
      <w:r w:rsidRPr="00AB44B8">
        <w:rPr>
          <w:rFonts w:ascii="Cambria" w:hAnsi="Cambria"/>
        </w:rPr>
        <w:t>.</w:t>
      </w:r>
    </w:p>
    <w:p w14:paraId="718C5924" w14:textId="3A5D4DB3" w:rsidR="00EB10B4" w:rsidRPr="00AB44B8" w:rsidRDefault="00EB10B4" w:rsidP="00AB44B8">
      <w:pPr>
        <w:numPr>
          <w:ilvl w:val="2"/>
          <w:numId w:val="8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Prioridades recientes: Integrar análisis de riesgos y efectos de contagio, supervisión macrofinanciera y políticas estructurales.</w:t>
      </w:r>
    </w:p>
    <w:p w14:paraId="3044AFCB" w14:textId="77777777" w:rsidR="00EB10B4" w:rsidRPr="00AB44B8" w:rsidRDefault="00EB10B4" w:rsidP="00AB44B8">
      <w:pPr>
        <w:numPr>
          <w:ilvl w:val="1"/>
          <w:numId w:val="2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Asistencia Financiera:</w:t>
      </w:r>
    </w:p>
    <w:p w14:paraId="5618C002" w14:textId="77777777" w:rsidR="00EB10B4" w:rsidRPr="00AB44B8" w:rsidRDefault="00EB10B4" w:rsidP="00AB44B8">
      <w:pPr>
        <w:numPr>
          <w:ilvl w:val="2"/>
          <w:numId w:val="8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Otorgar financiamiento temporal para corregir problemas de balanza de pagos.</w:t>
      </w:r>
    </w:p>
    <w:p w14:paraId="0E8AEE96" w14:textId="77777777" w:rsidR="00EB10B4" w:rsidRPr="00AB44B8" w:rsidRDefault="00EB10B4" w:rsidP="00AB44B8">
      <w:pPr>
        <w:numPr>
          <w:ilvl w:val="2"/>
          <w:numId w:val="8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Permite a los países reconstituir reservas y estabilizar la moneda mientras implementan reformas.</w:t>
      </w:r>
    </w:p>
    <w:p w14:paraId="02EFAC84" w14:textId="77777777" w:rsidR="00EB10B4" w:rsidRPr="00AB44B8" w:rsidRDefault="00EB10B4" w:rsidP="00AB44B8">
      <w:pPr>
        <w:numPr>
          <w:ilvl w:val="1"/>
          <w:numId w:val="2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Asistencia Técnica y Capacitación:</w:t>
      </w:r>
    </w:p>
    <w:p w14:paraId="3FB9E406" w14:textId="77777777" w:rsidR="00EB10B4" w:rsidRPr="00AB44B8" w:rsidRDefault="00EB10B4" w:rsidP="00AB44B8">
      <w:pPr>
        <w:numPr>
          <w:ilvl w:val="2"/>
          <w:numId w:val="8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Fortalecimiento de capacidades en política tributaria, gestión del gasto, políticas monetarias, supervisión bancaria y estadísticas.</w:t>
      </w:r>
    </w:p>
    <w:p w14:paraId="596D8A21" w14:textId="77777777" w:rsidR="00EB10B4" w:rsidRPr="00AB44B8" w:rsidRDefault="00EB10B4" w:rsidP="00AB44B8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AB44B8">
        <w:rPr>
          <w:rFonts w:ascii="Cambria" w:hAnsi="Cambria"/>
          <w:b/>
          <w:bCs/>
          <w:color w:val="auto"/>
          <w:sz w:val="28"/>
          <w:szCs w:val="28"/>
        </w:rPr>
        <w:t>3. Recursos del FMI</w:t>
      </w:r>
    </w:p>
    <w:p w14:paraId="5A58FD90" w14:textId="77777777" w:rsidR="00EB10B4" w:rsidRPr="00AB44B8" w:rsidRDefault="00EB10B4" w:rsidP="00AB44B8">
      <w:pPr>
        <w:jc w:val="both"/>
        <w:rPr>
          <w:rFonts w:ascii="Cambria" w:hAnsi="Cambria"/>
        </w:rPr>
      </w:pPr>
      <w:r w:rsidRPr="00AB44B8">
        <w:rPr>
          <w:rFonts w:ascii="Cambria" w:hAnsi="Cambria"/>
        </w:rPr>
        <w:t>La principal fuente de financiación son las cuotas de los países miembros, complementadas por acuerdos de crédito.</w:t>
      </w:r>
    </w:p>
    <w:p w14:paraId="23045488" w14:textId="77777777" w:rsidR="00EB10B4" w:rsidRPr="00AB44B8" w:rsidRDefault="00EB10B4" w:rsidP="00AB44B8">
      <w:pPr>
        <w:numPr>
          <w:ilvl w:val="0"/>
          <w:numId w:val="3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Sistema de Cuotas:</w:t>
      </w:r>
    </w:p>
    <w:p w14:paraId="782BA95D" w14:textId="77777777" w:rsidR="00EB10B4" w:rsidRPr="00AB44B8" w:rsidRDefault="00EB10B4" w:rsidP="00AB44B8">
      <w:pPr>
        <w:numPr>
          <w:ilvl w:val="1"/>
          <w:numId w:val="3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Asignada según el tamaño de la economía en relación con la economía mundial.</w:t>
      </w:r>
    </w:p>
    <w:p w14:paraId="3E0D4B52" w14:textId="77777777" w:rsidR="00EB10B4" w:rsidRPr="00AB44B8" w:rsidRDefault="00EB10B4" w:rsidP="00AB44B8">
      <w:pPr>
        <w:numPr>
          <w:ilvl w:val="1"/>
          <w:numId w:val="3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Determina la contribución máxima, el número de votos y el acceso al financiamiento.</w:t>
      </w:r>
    </w:p>
    <w:p w14:paraId="1F0F706B" w14:textId="77777777" w:rsidR="00EB10B4" w:rsidRPr="00AB44B8" w:rsidRDefault="00EB10B4" w:rsidP="00AB44B8">
      <w:pPr>
        <w:numPr>
          <w:ilvl w:val="1"/>
          <w:numId w:val="3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Pago: 25% en divisas fuertes o Derechos Especiales de Giro (DEG) y 75% en moneda nacional.</w:t>
      </w:r>
    </w:p>
    <w:p w14:paraId="2E58745E" w14:textId="77777777" w:rsidR="00EB10B4" w:rsidRPr="00AB44B8" w:rsidRDefault="00EB10B4" w:rsidP="00AB44B8">
      <w:pPr>
        <w:numPr>
          <w:ilvl w:val="1"/>
          <w:numId w:val="3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Fórmula de cálculo:</w:t>
      </w:r>
      <w:r w:rsidRPr="00AB44B8">
        <w:rPr>
          <w:rFonts w:ascii="Cambria" w:hAnsi="Cambria"/>
        </w:rPr>
        <w:t xml:space="preserve"> Promedio ponderado de PIB (50%), apertura (30%), variabilidad económica (15%) y reservas (5%).</w:t>
      </w:r>
    </w:p>
    <w:p w14:paraId="1274F62B" w14:textId="77777777" w:rsidR="00EB10B4" w:rsidRPr="00AB44B8" w:rsidRDefault="00EB10B4" w:rsidP="00AB44B8">
      <w:pPr>
        <w:numPr>
          <w:ilvl w:val="1"/>
          <w:numId w:val="3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Revisión:</w:t>
      </w:r>
      <w:r w:rsidRPr="00AB44B8">
        <w:rPr>
          <w:rFonts w:ascii="Cambria" w:hAnsi="Cambria"/>
        </w:rPr>
        <w:t xml:space="preserve"> Mínimo cada 5 años. La Decimosexta Revisión (2023) aprobó un aumento del 50% de las cuotas.</w:t>
      </w:r>
    </w:p>
    <w:p w14:paraId="2C14960E" w14:textId="77777777" w:rsidR="00EB10B4" w:rsidRPr="00AB44B8" w:rsidRDefault="00EB10B4" w:rsidP="00AB44B8">
      <w:pPr>
        <w:numPr>
          <w:ilvl w:val="0"/>
          <w:numId w:val="3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Tenencias de Oro:</w:t>
      </w:r>
    </w:p>
    <w:p w14:paraId="2CCD6709" w14:textId="41E39492" w:rsidR="00EB10B4" w:rsidRPr="00AB44B8" w:rsidRDefault="00EB10B4" w:rsidP="00AB44B8">
      <w:pPr>
        <w:numPr>
          <w:ilvl w:val="1"/>
          <w:numId w:val="3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El FMI es uno de los mayores tenedores oficiales</w:t>
      </w:r>
    </w:p>
    <w:p w14:paraId="5EF696D7" w14:textId="77777777" w:rsidR="00EB10B4" w:rsidRPr="00AB44B8" w:rsidRDefault="00EB10B4" w:rsidP="00AB44B8">
      <w:pPr>
        <w:numPr>
          <w:ilvl w:val="1"/>
          <w:numId w:val="3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Uso estrictamente limitado; la venta requiere aprobación del 85% de los votos.</w:t>
      </w:r>
    </w:p>
    <w:p w14:paraId="35059664" w14:textId="66989664" w:rsidR="00EB10B4" w:rsidRPr="00AB44B8" w:rsidRDefault="00EB10B4" w:rsidP="00AB44B8">
      <w:pPr>
        <w:numPr>
          <w:ilvl w:val="0"/>
          <w:numId w:val="3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Acuerdos de Obtención de Préstamos:</w:t>
      </w:r>
    </w:p>
    <w:p w14:paraId="32673D77" w14:textId="77777777" w:rsidR="00EB10B4" w:rsidRPr="00AB44B8" w:rsidRDefault="00EB10B4" w:rsidP="00AB44B8">
      <w:pPr>
        <w:numPr>
          <w:ilvl w:val="1"/>
          <w:numId w:val="3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lastRenderedPageBreak/>
        <w:t>Nuevos Acuerdos para la Obtención de Préstamos (NAP):</w:t>
      </w:r>
      <w:r w:rsidRPr="00AB44B8">
        <w:rPr>
          <w:rFonts w:ascii="Cambria" w:hAnsi="Cambria"/>
        </w:rPr>
        <w:t xml:space="preserve"> Mecanismo multilateral de crédito permanente ampliado y flexibilizado tras la crisis financiera.</w:t>
      </w:r>
    </w:p>
    <w:p w14:paraId="3DADCE7B" w14:textId="77777777" w:rsidR="00EB10B4" w:rsidRPr="00AB44B8" w:rsidRDefault="00EB10B4" w:rsidP="00AB44B8">
      <w:pPr>
        <w:numPr>
          <w:ilvl w:val="1"/>
          <w:numId w:val="3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Acuerdos Bilaterales:</w:t>
      </w:r>
      <w:r w:rsidRPr="00AB44B8">
        <w:rPr>
          <w:rFonts w:ascii="Cambria" w:hAnsi="Cambria"/>
        </w:rPr>
        <w:t xml:space="preserve"> Segunda línea de defensa temporal para complementar cuotas y NAP.</w:t>
      </w:r>
    </w:p>
    <w:p w14:paraId="4FD70CC4" w14:textId="77777777" w:rsidR="00EB10B4" w:rsidRPr="00AB44B8" w:rsidRDefault="00EB10B4" w:rsidP="00AB44B8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AB44B8">
        <w:rPr>
          <w:rFonts w:ascii="Cambria" w:hAnsi="Cambria"/>
          <w:b/>
          <w:bCs/>
          <w:color w:val="auto"/>
          <w:sz w:val="28"/>
          <w:szCs w:val="28"/>
        </w:rPr>
        <w:t>4. La Condicionalidad</w:t>
      </w:r>
    </w:p>
    <w:p w14:paraId="08118B01" w14:textId="77777777" w:rsidR="00EB10B4" w:rsidRPr="00AB44B8" w:rsidRDefault="00EB10B4" w:rsidP="00AB44B8">
      <w:pPr>
        <w:jc w:val="both"/>
        <w:rPr>
          <w:rFonts w:ascii="Cambria" w:hAnsi="Cambria"/>
        </w:rPr>
      </w:pPr>
      <w:r w:rsidRPr="00AB44B8">
        <w:rPr>
          <w:rFonts w:ascii="Cambria" w:hAnsi="Cambria"/>
        </w:rPr>
        <w:t>Compromiso de los países prestatarios de ajustar sus políticas económicas para superar los problemas que motivaron la solicitud de ayuda y garantizar el reembolso.</w:t>
      </w:r>
    </w:p>
    <w:p w14:paraId="240E6A00" w14:textId="77777777" w:rsidR="00EB10B4" w:rsidRPr="00AB44B8" w:rsidRDefault="00EB10B4" w:rsidP="00AB44B8">
      <w:pPr>
        <w:numPr>
          <w:ilvl w:val="0"/>
          <w:numId w:val="4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Enfoque:</w:t>
      </w:r>
    </w:p>
    <w:p w14:paraId="58054429" w14:textId="77777777" w:rsidR="00EB10B4" w:rsidRPr="00AB44B8" w:rsidRDefault="00EB10B4" w:rsidP="00AB44B8">
      <w:pPr>
        <w:numPr>
          <w:ilvl w:val="1"/>
          <w:numId w:val="4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Las medidas deben ser esenciales para la estabilidad macroeconómica.</w:t>
      </w:r>
    </w:p>
    <w:p w14:paraId="5D14C1A5" w14:textId="4C46D94C" w:rsidR="00EB10B4" w:rsidRPr="00AB44B8" w:rsidRDefault="00EB10B4" w:rsidP="00AB44B8">
      <w:pPr>
        <w:numPr>
          <w:ilvl w:val="1"/>
          <w:numId w:val="4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 xml:space="preserve">El país diseña el programa (descrito en la </w:t>
      </w:r>
      <w:r w:rsidRPr="00AB44B8">
        <w:rPr>
          <w:rFonts w:ascii="Cambria" w:hAnsi="Cambria"/>
          <w:u w:val="single"/>
        </w:rPr>
        <w:t>Carta de Intención</w:t>
      </w:r>
      <w:r w:rsidRPr="00AB44B8">
        <w:rPr>
          <w:rFonts w:ascii="Cambria" w:hAnsi="Cambria"/>
        </w:rPr>
        <w:t>).</w:t>
      </w:r>
    </w:p>
    <w:p w14:paraId="0055AE3D" w14:textId="77777777" w:rsidR="00EB10B4" w:rsidRPr="00AB44B8" w:rsidRDefault="00EB10B4" w:rsidP="00AB44B8">
      <w:pPr>
        <w:numPr>
          <w:ilvl w:val="0"/>
          <w:numId w:val="4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Evolución:</w:t>
      </w:r>
    </w:p>
    <w:p w14:paraId="7209FEB9" w14:textId="77777777" w:rsidR="00EB10B4" w:rsidRPr="00AB44B8" w:rsidRDefault="00EB10B4" w:rsidP="00AB44B8">
      <w:pPr>
        <w:numPr>
          <w:ilvl w:val="1"/>
          <w:numId w:val="4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Históricamente centrada en la macroeconomía; en los 80-90 aumentó la complejidad estructural.</w:t>
      </w:r>
    </w:p>
    <w:p w14:paraId="047DF1A1" w14:textId="77777777" w:rsidR="00EB10B4" w:rsidRPr="00AB44B8" w:rsidRDefault="00EB10B4" w:rsidP="00AB44B8">
      <w:pPr>
        <w:numPr>
          <w:ilvl w:val="1"/>
          <w:numId w:val="4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Reformas recientes (2002, 2009) buscan simplificar y focalizar la condicionalidad, adaptándola a las circunstancias del país.</w:t>
      </w:r>
    </w:p>
    <w:p w14:paraId="6EAB5712" w14:textId="77777777" w:rsidR="00EB10B4" w:rsidRPr="00AB44B8" w:rsidRDefault="00EB10B4" w:rsidP="00AB44B8">
      <w:pPr>
        <w:numPr>
          <w:ilvl w:val="1"/>
          <w:numId w:val="4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Introducción de Condicionalidad Ex Ante:</w:t>
      </w:r>
      <w:r w:rsidRPr="00AB44B8">
        <w:rPr>
          <w:rFonts w:ascii="Cambria" w:hAnsi="Cambria"/>
        </w:rPr>
        <w:t xml:space="preserve"> Criterios de habilitación estrictos para líneas de crédito preventivas (LCF), sin condiciones tradicionales de ajuste posterior.</w:t>
      </w:r>
    </w:p>
    <w:p w14:paraId="3E384679" w14:textId="50EC8348" w:rsidR="00EB10B4" w:rsidRPr="00AB44B8" w:rsidRDefault="00EB10B4" w:rsidP="00AB44B8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AB44B8">
        <w:rPr>
          <w:rFonts w:ascii="Cambria" w:hAnsi="Cambria"/>
          <w:b/>
          <w:bCs/>
          <w:color w:val="auto"/>
          <w:sz w:val="28"/>
          <w:szCs w:val="28"/>
        </w:rPr>
        <w:t>5. Servicios Financier</w:t>
      </w:r>
      <w:r w:rsidR="000920C6" w:rsidRPr="00AB44B8">
        <w:rPr>
          <w:rFonts w:ascii="Cambria" w:hAnsi="Cambria"/>
          <w:b/>
          <w:bCs/>
          <w:color w:val="auto"/>
          <w:sz w:val="28"/>
          <w:szCs w:val="28"/>
        </w:rPr>
        <w:t>os</w:t>
      </w:r>
    </w:p>
    <w:p w14:paraId="3B76E90C" w14:textId="77777777" w:rsidR="000920C6" w:rsidRPr="00AB44B8" w:rsidRDefault="00EB10B4" w:rsidP="00AB44B8">
      <w:pPr>
        <w:jc w:val="both"/>
        <w:rPr>
          <w:rFonts w:ascii="Cambria" w:hAnsi="Cambria"/>
        </w:rPr>
      </w:pPr>
      <w:r w:rsidRPr="00AB44B8">
        <w:rPr>
          <w:rFonts w:ascii="Cambria" w:hAnsi="Cambria"/>
        </w:rPr>
        <w:t xml:space="preserve">El FMI adapta sus instrumentos a las necesidades específicas </w:t>
      </w:r>
    </w:p>
    <w:p w14:paraId="2F887D67" w14:textId="59876D3F" w:rsidR="00EB10B4" w:rsidRPr="00AB44B8" w:rsidRDefault="00EB10B4" w:rsidP="00AB44B8">
      <w:pPr>
        <w:pStyle w:val="Prrafodelista"/>
        <w:numPr>
          <w:ilvl w:val="0"/>
          <w:numId w:val="8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Préstamos No Concesionarios (Tasa de mercado + sobretasas):</w:t>
      </w:r>
    </w:p>
    <w:p w14:paraId="223FA06D" w14:textId="77777777" w:rsidR="00EB10B4" w:rsidRPr="00AB44B8" w:rsidRDefault="00EB10B4" w:rsidP="00AB44B8">
      <w:pPr>
        <w:numPr>
          <w:ilvl w:val="1"/>
          <w:numId w:val="5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Acuerdos de Derecho de Giro (Stand-By):</w:t>
      </w:r>
      <w:r w:rsidRPr="00AB44B8">
        <w:rPr>
          <w:rFonts w:ascii="Cambria" w:hAnsi="Cambria"/>
        </w:rPr>
        <w:t xml:space="preserve"> Para problemas de balanza de pagos a corto plazo (1-2 años). El más utilizado.</w:t>
      </w:r>
    </w:p>
    <w:p w14:paraId="7DFA3E6D" w14:textId="77777777" w:rsidR="00EB10B4" w:rsidRPr="00AB44B8" w:rsidRDefault="00EB10B4" w:rsidP="00AB44B8">
      <w:pPr>
        <w:numPr>
          <w:ilvl w:val="1"/>
          <w:numId w:val="5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Servicio Ampliado del FMI (SAF):</w:t>
      </w:r>
      <w:r w:rsidRPr="00AB44B8">
        <w:rPr>
          <w:rFonts w:ascii="Cambria" w:hAnsi="Cambria"/>
        </w:rPr>
        <w:t xml:space="preserve"> Para problemas a medio/largo plazo que requieren reformas estructurales fundamentales (hasta 4 años).</w:t>
      </w:r>
    </w:p>
    <w:p w14:paraId="0439CAB8" w14:textId="77777777" w:rsidR="00EB10B4" w:rsidRPr="00AB44B8" w:rsidRDefault="00EB10B4" w:rsidP="00AB44B8">
      <w:pPr>
        <w:numPr>
          <w:ilvl w:val="1"/>
          <w:numId w:val="5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Línea de Crédito Flexible (LCF):</w:t>
      </w:r>
      <w:r w:rsidRPr="00AB44B8">
        <w:rPr>
          <w:rFonts w:ascii="Cambria" w:hAnsi="Cambria"/>
        </w:rPr>
        <w:t xml:space="preserve"> Para países con fundamentos económicos muy sólidos. Sin condicionalidad ex post (solo ex ante).</w:t>
      </w:r>
    </w:p>
    <w:p w14:paraId="3822B6B5" w14:textId="77777777" w:rsidR="00EB10B4" w:rsidRPr="00AB44B8" w:rsidRDefault="00EB10B4" w:rsidP="00AB44B8">
      <w:pPr>
        <w:numPr>
          <w:ilvl w:val="1"/>
          <w:numId w:val="5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Línea de Precaución y Liquidez (LPL):</w:t>
      </w:r>
      <w:r w:rsidRPr="00AB44B8">
        <w:rPr>
          <w:rFonts w:ascii="Cambria" w:hAnsi="Cambria"/>
        </w:rPr>
        <w:t xml:space="preserve"> Para países con fundamentos sólidos pero con vulnerabilidades moderadas.</w:t>
      </w:r>
    </w:p>
    <w:p w14:paraId="26C80AA2" w14:textId="77777777" w:rsidR="00EB10B4" w:rsidRPr="00AB44B8" w:rsidRDefault="00EB10B4" w:rsidP="00AB44B8">
      <w:pPr>
        <w:numPr>
          <w:ilvl w:val="1"/>
          <w:numId w:val="5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lastRenderedPageBreak/>
        <w:t>Instrumento de Financiamiento Rápido (IFR):</w:t>
      </w:r>
      <w:r w:rsidRPr="00AB44B8">
        <w:rPr>
          <w:rFonts w:ascii="Cambria" w:hAnsi="Cambria"/>
        </w:rPr>
        <w:t xml:space="preserve"> Asistencia de emergencia urgente con condicionalidad limitada.</w:t>
      </w:r>
    </w:p>
    <w:p w14:paraId="634CAA43" w14:textId="77777777" w:rsidR="00EB10B4" w:rsidRPr="00AB44B8" w:rsidRDefault="00EB10B4" w:rsidP="00AB44B8">
      <w:pPr>
        <w:numPr>
          <w:ilvl w:val="0"/>
          <w:numId w:val="5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Préstamos Concesionarios (Para países de bajo ingreso - FFCLP):</w:t>
      </w:r>
    </w:p>
    <w:p w14:paraId="0F2CBC23" w14:textId="77777777" w:rsidR="00EB10B4" w:rsidRPr="00AB44B8" w:rsidRDefault="00EB10B4" w:rsidP="00AB44B8">
      <w:pPr>
        <w:numPr>
          <w:ilvl w:val="1"/>
          <w:numId w:val="5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Tienen tasas de interés cero (transitoriamente) y límites de acceso ampliados.</w:t>
      </w:r>
    </w:p>
    <w:p w14:paraId="423A3E7E" w14:textId="77777777" w:rsidR="00EB10B4" w:rsidRPr="00AB44B8" w:rsidRDefault="00EB10B4" w:rsidP="00AB44B8">
      <w:pPr>
        <w:numPr>
          <w:ilvl w:val="1"/>
          <w:numId w:val="5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Servicio de Crédito Ampliado (SCA):</w:t>
      </w:r>
      <w:r w:rsidRPr="00AB44B8">
        <w:rPr>
          <w:rFonts w:ascii="Cambria" w:hAnsi="Cambria"/>
        </w:rPr>
        <w:t xml:space="preserve"> Apoyo a medio plazo para problemas persistentes.</w:t>
      </w:r>
    </w:p>
    <w:p w14:paraId="4F7C2EF4" w14:textId="77777777" w:rsidR="00EB10B4" w:rsidRPr="00AB44B8" w:rsidRDefault="00EB10B4" w:rsidP="00AB44B8">
      <w:pPr>
        <w:numPr>
          <w:ilvl w:val="1"/>
          <w:numId w:val="5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Servicio de Crédito Stand-By (SCS):</w:t>
      </w:r>
      <w:r w:rsidRPr="00AB44B8">
        <w:rPr>
          <w:rFonts w:ascii="Cambria" w:hAnsi="Cambria"/>
        </w:rPr>
        <w:t xml:space="preserve"> Necesidades a corto plazo/precautorias.</w:t>
      </w:r>
    </w:p>
    <w:p w14:paraId="6A2235E8" w14:textId="77777777" w:rsidR="00EB10B4" w:rsidRPr="00AB44B8" w:rsidRDefault="00EB10B4" w:rsidP="00AB44B8">
      <w:pPr>
        <w:numPr>
          <w:ilvl w:val="1"/>
          <w:numId w:val="5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Servicio de Crédito Rápido (SCR):</w:t>
      </w:r>
      <w:r w:rsidRPr="00AB44B8">
        <w:rPr>
          <w:rFonts w:ascii="Cambria" w:hAnsi="Cambria"/>
        </w:rPr>
        <w:t xml:space="preserve"> Necesidad urgente con condicionalidad limitada.</w:t>
      </w:r>
    </w:p>
    <w:p w14:paraId="3D7AFB5E" w14:textId="77777777" w:rsidR="00EB10B4" w:rsidRPr="00AB44B8" w:rsidRDefault="00EB10B4" w:rsidP="00AB44B8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AB44B8">
        <w:rPr>
          <w:rFonts w:ascii="Cambria" w:hAnsi="Cambria"/>
          <w:b/>
          <w:bCs/>
          <w:color w:val="auto"/>
          <w:sz w:val="28"/>
          <w:szCs w:val="28"/>
        </w:rPr>
        <w:t>6. Reforma del FMI</w:t>
      </w:r>
    </w:p>
    <w:p w14:paraId="320A292E" w14:textId="75C87C03" w:rsidR="00EB10B4" w:rsidRPr="00AB44B8" w:rsidRDefault="00EB10B4" w:rsidP="00AB44B8">
      <w:pPr>
        <w:jc w:val="both"/>
        <w:rPr>
          <w:rFonts w:ascii="Cambria" w:hAnsi="Cambria"/>
        </w:rPr>
      </w:pPr>
      <w:r w:rsidRPr="00AB44B8">
        <w:rPr>
          <w:rFonts w:ascii="Cambria" w:hAnsi="Cambria"/>
        </w:rPr>
        <w:t>El organismo se adapta a los cambios en la economía global, destacando la Reforma de 2010:</w:t>
      </w:r>
    </w:p>
    <w:p w14:paraId="4ADA8FFE" w14:textId="77777777" w:rsidR="00EB10B4" w:rsidRPr="00AB44B8" w:rsidRDefault="00EB10B4" w:rsidP="00AB44B8">
      <w:pPr>
        <w:numPr>
          <w:ilvl w:val="0"/>
          <w:numId w:val="6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Redistribución de Cuotas:</w:t>
      </w:r>
      <w:r w:rsidRPr="00AB44B8">
        <w:rPr>
          <w:rFonts w:ascii="Cambria" w:hAnsi="Cambria"/>
        </w:rPr>
        <w:t xml:space="preserve"> Se duplicaron las cuotas y se traspasó más del 6% de las cuotas relativas hacia países dinámicos de mercados emergentes y en desarrollo.</w:t>
      </w:r>
    </w:p>
    <w:p w14:paraId="3DD2EBA6" w14:textId="77777777" w:rsidR="00EB10B4" w:rsidRPr="00AB44B8" w:rsidRDefault="00EB10B4" w:rsidP="00AB44B8">
      <w:pPr>
        <w:numPr>
          <w:ilvl w:val="0"/>
          <w:numId w:val="6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Representación:</w:t>
      </w:r>
    </w:p>
    <w:p w14:paraId="5FA71A1E" w14:textId="515AE881" w:rsidR="00EB10B4" w:rsidRPr="00AB44B8" w:rsidRDefault="00EB10B4" w:rsidP="00AB44B8">
      <w:pPr>
        <w:numPr>
          <w:ilvl w:val="1"/>
          <w:numId w:val="6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 xml:space="preserve">Los países </w:t>
      </w:r>
      <w:r w:rsidRPr="00AB44B8">
        <w:rPr>
          <w:rFonts w:ascii="Cambria" w:hAnsi="Cambria"/>
          <w:b/>
          <w:bCs/>
        </w:rPr>
        <w:t>BRIC</w:t>
      </w:r>
      <w:r w:rsidR="000920C6" w:rsidRPr="00AB44B8">
        <w:rPr>
          <w:rFonts w:ascii="Cambria" w:hAnsi="Cambria"/>
          <w:b/>
          <w:bCs/>
        </w:rPr>
        <w:t>S</w:t>
      </w:r>
      <w:r w:rsidRPr="00AB44B8">
        <w:rPr>
          <w:rFonts w:ascii="Cambria" w:hAnsi="Cambria"/>
        </w:rPr>
        <w:t xml:space="preserve"> (Brasil, Rusia, India, China</w:t>
      </w:r>
      <w:r w:rsidR="000920C6" w:rsidRPr="00AB44B8">
        <w:rPr>
          <w:rFonts w:ascii="Cambria" w:hAnsi="Cambria"/>
        </w:rPr>
        <w:t xml:space="preserve">, </w:t>
      </w:r>
      <w:r w:rsidR="000B2B34" w:rsidRPr="00AB44B8">
        <w:rPr>
          <w:rFonts w:ascii="Cambria" w:hAnsi="Cambria"/>
        </w:rPr>
        <w:t>Sudáfrica</w:t>
      </w:r>
      <w:r w:rsidRPr="00AB44B8">
        <w:rPr>
          <w:rFonts w:ascii="Cambria" w:hAnsi="Cambria"/>
        </w:rPr>
        <w:t>) se situaron entre los 10 mayores accionistas.</w:t>
      </w:r>
    </w:p>
    <w:p w14:paraId="28A1D06F" w14:textId="77777777" w:rsidR="00EB10B4" w:rsidRPr="00AB44B8" w:rsidRDefault="00EB10B4" w:rsidP="00AB44B8">
      <w:pPr>
        <w:numPr>
          <w:ilvl w:val="1"/>
          <w:numId w:val="6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Protección del poder de voto de los países más pobres.</w:t>
      </w:r>
    </w:p>
    <w:p w14:paraId="62C5FC80" w14:textId="77777777" w:rsidR="00EB10B4" w:rsidRPr="00AB44B8" w:rsidRDefault="00EB10B4" w:rsidP="00AB44B8">
      <w:pPr>
        <w:numPr>
          <w:ilvl w:val="1"/>
          <w:numId w:val="6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Directorio Ejecutivo: Todos los directores pasaron a ser electos y Europa redujo su representación en dos sillas.</w:t>
      </w:r>
    </w:p>
    <w:p w14:paraId="6074B3F5" w14:textId="77777777" w:rsidR="00EB10B4" w:rsidRPr="00AB44B8" w:rsidRDefault="00EB10B4" w:rsidP="00AB44B8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AB44B8">
        <w:rPr>
          <w:rFonts w:ascii="Cambria" w:hAnsi="Cambria"/>
          <w:b/>
          <w:bCs/>
          <w:color w:val="auto"/>
          <w:sz w:val="28"/>
          <w:szCs w:val="28"/>
        </w:rPr>
        <w:t>7. El FMI y los Objetivos de Desarrollo</w:t>
      </w:r>
    </w:p>
    <w:p w14:paraId="7828A8B3" w14:textId="541DC0C5" w:rsidR="00EB10B4" w:rsidRPr="00AB44B8" w:rsidRDefault="00EB10B4" w:rsidP="00AB44B8">
      <w:pPr>
        <w:numPr>
          <w:ilvl w:val="0"/>
          <w:numId w:val="7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Objetivos de Desarrollo del Milenio</w:t>
      </w:r>
      <w:r w:rsidR="000920C6" w:rsidRPr="00AB44B8">
        <w:rPr>
          <w:rFonts w:ascii="Cambria" w:hAnsi="Cambria"/>
          <w:b/>
          <w:bCs/>
        </w:rPr>
        <w:t>:</w:t>
      </w:r>
    </w:p>
    <w:p w14:paraId="4ADCCE0B" w14:textId="77777777" w:rsidR="00EB10B4" w:rsidRPr="00AB44B8" w:rsidRDefault="00EB10B4" w:rsidP="00AB44B8">
      <w:pPr>
        <w:numPr>
          <w:ilvl w:val="1"/>
          <w:numId w:val="7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El FMI apoyó mediante financiamiento flexible y alivio de deuda.</w:t>
      </w:r>
    </w:p>
    <w:p w14:paraId="13D94EF2" w14:textId="77777777" w:rsidR="00EB10B4" w:rsidRPr="00AB44B8" w:rsidRDefault="00EB10B4" w:rsidP="00AB44B8">
      <w:pPr>
        <w:numPr>
          <w:ilvl w:val="1"/>
          <w:numId w:val="7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Resultados mixtos: Se alcanzó la meta de reducción de pobreza extrema a la mitad antes de 2015 a nivel global (impulsado por Asia), pero África subsahariana tuvo mayores dificultades.</w:t>
      </w:r>
    </w:p>
    <w:p w14:paraId="12B65051" w14:textId="29CE29AD" w:rsidR="00EB10B4" w:rsidRPr="00AB44B8" w:rsidRDefault="00EB10B4" w:rsidP="00AB44B8">
      <w:pPr>
        <w:numPr>
          <w:ilvl w:val="0"/>
          <w:numId w:val="7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t>Objetivos de Desarrollo Sostenible</w:t>
      </w:r>
      <w:r w:rsidR="000920C6" w:rsidRPr="00AB44B8">
        <w:rPr>
          <w:rFonts w:ascii="Cambria" w:hAnsi="Cambria"/>
          <w:b/>
          <w:bCs/>
        </w:rPr>
        <w:t xml:space="preserve"> </w:t>
      </w:r>
      <w:r w:rsidRPr="00AB44B8">
        <w:rPr>
          <w:rFonts w:ascii="Cambria" w:hAnsi="Cambria"/>
          <w:b/>
          <w:bCs/>
        </w:rPr>
        <w:t>(Agenda 2030):</w:t>
      </w:r>
    </w:p>
    <w:p w14:paraId="7733E1F4" w14:textId="77777777" w:rsidR="00EB10B4" w:rsidRPr="00AB44B8" w:rsidRDefault="00EB10B4" w:rsidP="00AB44B8">
      <w:pPr>
        <w:numPr>
          <w:ilvl w:val="1"/>
          <w:numId w:val="7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Adoptados en 2015, son más ambiciosos (sostenibilidad económica, social y ambiental).</w:t>
      </w:r>
    </w:p>
    <w:p w14:paraId="1C704621" w14:textId="77777777" w:rsidR="00EB10B4" w:rsidRPr="00AB44B8" w:rsidRDefault="00EB10B4" w:rsidP="00AB44B8">
      <w:pPr>
        <w:numPr>
          <w:ilvl w:val="1"/>
          <w:numId w:val="7"/>
        </w:numPr>
        <w:jc w:val="both"/>
        <w:rPr>
          <w:rFonts w:ascii="Cambria" w:hAnsi="Cambria"/>
        </w:rPr>
      </w:pPr>
      <w:r w:rsidRPr="00AB44B8">
        <w:rPr>
          <w:rFonts w:ascii="Cambria" w:hAnsi="Cambria"/>
          <w:b/>
          <w:bCs/>
        </w:rPr>
        <w:lastRenderedPageBreak/>
        <w:t>Rol del FMI:</w:t>
      </w:r>
    </w:p>
    <w:p w14:paraId="1A3F1677" w14:textId="77777777" w:rsidR="00EB10B4" w:rsidRPr="00AB44B8" w:rsidRDefault="00EB10B4" w:rsidP="00AB44B8">
      <w:pPr>
        <w:numPr>
          <w:ilvl w:val="2"/>
          <w:numId w:val="7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Aumentar el acceso a financiamiento concesional (redes de seguridad).</w:t>
      </w:r>
    </w:p>
    <w:p w14:paraId="014D88BC" w14:textId="77777777" w:rsidR="00EB10B4" w:rsidRPr="00AB44B8" w:rsidRDefault="00EB10B4" w:rsidP="00AB44B8">
      <w:pPr>
        <w:numPr>
          <w:ilvl w:val="2"/>
          <w:numId w:val="7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Apoyo en la creación de capacidad fiscal (recaudación de impuestos).</w:t>
      </w:r>
    </w:p>
    <w:p w14:paraId="16833BF0" w14:textId="77777777" w:rsidR="00EB10B4" w:rsidRPr="00AB44B8" w:rsidRDefault="00EB10B4" w:rsidP="00AB44B8">
      <w:pPr>
        <w:numPr>
          <w:ilvl w:val="2"/>
          <w:numId w:val="7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>Apoyo a la inversión en infraestructuras y fomento de la inclusión financiera y de género.</w:t>
      </w:r>
    </w:p>
    <w:p w14:paraId="439F1D09" w14:textId="77777777" w:rsidR="00EB10B4" w:rsidRPr="00AB44B8" w:rsidRDefault="00EB10B4" w:rsidP="00AB44B8">
      <w:pPr>
        <w:numPr>
          <w:ilvl w:val="1"/>
          <w:numId w:val="7"/>
        </w:numPr>
        <w:jc w:val="both"/>
        <w:rPr>
          <w:rFonts w:ascii="Cambria" w:hAnsi="Cambria"/>
        </w:rPr>
      </w:pPr>
      <w:r w:rsidRPr="00AB44B8">
        <w:rPr>
          <w:rFonts w:ascii="Cambria" w:hAnsi="Cambria"/>
        </w:rPr>
        <w:t xml:space="preserve">Financiación: Basada en la </w:t>
      </w:r>
      <w:r w:rsidRPr="00AB44B8">
        <w:rPr>
          <w:rFonts w:ascii="Cambria" w:hAnsi="Cambria"/>
          <w:i/>
          <w:iCs/>
        </w:rPr>
        <w:t>Agenda de Acción de Addis Abeba</w:t>
      </w:r>
      <w:r w:rsidRPr="00AB44B8">
        <w:rPr>
          <w:rFonts w:ascii="Cambria" w:hAnsi="Cambria"/>
        </w:rPr>
        <w:t>.</w:t>
      </w:r>
    </w:p>
    <w:p w14:paraId="5702EB25" w14:textId="77777777" w:rsidR="00A65383" w:rsidRPr="00AB44B8" w:rsidRDefault="00A65383" w:rsidP="00AB44B8">
      <w:pPr>
        <w:jc w:val="both"/>
        <w:rPr>
          <w:rFonts w:ascii="Cambria" w:hAnsi="Cambria"/>
        </w:rPr>
      </w:pPr>
    </w:p>
    <w:sectPr w:rsidR="00A65383" w:rsidRPr="00AB44B8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6BC574" w14:textId="77777777" w:rsidR="00EB10B4" w:rsidRDefault="00EB10B4" w:rsidP="00EB10B4">
      <w:pPr>
        <w:spacing w:after="0" w:line="240" w:lineRule="auto"/>
      </w:pPr>
      <w:r>
        <w:separator/>
      </w:r>
    </w:p>
  </w:endnote>
  <w:endnote w:type="continuationSeparator" w:id="0">
    <w:p w14:paraId="12F92CD2" w14:textId="77777777" w:rsidR="00EB10B4" w:rsidRDefault="00EB10B4" w:rsidP="00EB10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5FEAE" w14:textId="77777777" w:rsidR="00EB10B4" w:rsidRDefault="00EB10B4" w:rsidP="00EB10B4">
      <w:pPr>
        <w:spacing w:after="0" w:line="240" w:lineRule="auto"/>
      </w:pPr>
      <w:r>
        <w:separator/>
      </w:r>
    </w:p>
  </w:footnote>
  <w:footnote w:type="continuationSeparator" w:id="0">
    <w:p w14:paraId="68D821E4" w14:textId="77777777" w:rsidR="00EB10B4" w:rsidRDefault="00EB10B4" w:rsidP="00EB10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204B8" w14:textId="1FCF5639" w:rsidR="00EB10B4" w:rsidRPr="00EB10B4" w:rsidRDefault="00EB10B4" w:rsidP="00EB10B4">
    <w:pPr>
      <w:pStyle w:val="Encabezado"/>
      <w:jc w:val="both"/>
      <w:rPr>
        <w:rFonts w:ascii="Palatino Linotype" w:hAnsi="Palatino Linotype"/>
        <w:i/>
        <w:iCs/>
      </w:rPr>
    </w:pPr>
    <w:r w:rsidRPr="00EB10B4">
      <w:rPr>
        <w:rFonts w:ascii="Palatino Linotype" w:hAnsi="Palatino Linotype"/>
        <w:b/>
        <w:bCs/>
        <w:i/>
        <w:iCs/>
      </w:rPr>
      <w:t xml:space="preserve">TEMA 35 - </w:t>
    </w:r>
    <w:r w:rsidRPr="00EB10B4">
      <w:rPr>
        <w:rFonts w:ascii="Palatino Linotype" w:hAnsi="Palatino Linotype"/>
        <w:i/>
        <w:iCs/>
      </w:rPr>
      <w:t>La cooperación económica internacional: el Fondo Monetario Internacional. Antecedentes; objetivos y funciones; recursos del FMI; la condicionalidad.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2FE0"/>
    <w:multiLevelType w:val="multilevel"/>
    <w:tmpl w:val="C7DA7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D2179"/>
    <w:multiLevelType w:val="multilevel"/>
    <w:tmpl w:val="85E40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21DF9"/>
    <w:multiLevelType w:val="multilevel"/>
    <w:tmpl w:val="302A3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DD4CDC"/>
    <w:multiLevelType w:val="multilevel"/>
    <w:tmpl w:val="913C1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442AD3"/>
    <w:multiLevelType w:val="multilevel"/>
    <w:tmpl w:val="3B802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A7051"/>
    <w:multiLevelType w:val="multilevel"/>
    <w:tmpl w:val="2BAE2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9E5209"/>
    <w:multiLevelType w:val="multilevel"/>
    <w:tmpl w:val="B608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F754E0"/>
    <w:multiLevelType w:val="multilevel"/>
    <w:tmpl w:val="C7F0B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1915794">
    <w:abstractNumId w:val="2"/>
  </w:num>
  <w:num w:numId="2" w16cid:durableId="537470724">
    <w:abstractNumId w:val="6"/>
  </w:num>
  <w:num w:numId="3" w16cid:durableId="1076364511">
    <w:abstractNumId w:val="0"/>
  </w:num>
  <w:num w:numId="4" w16cid:durableId="1924100981">
    <w:abstractNumId w:val="5"/>
  </w:num>
  <w:num w:numId="5" w16cid:durableId="1150054367">
    <w:abstractNumId w:val="3"/>
  </w:num>
  <w:num w:numId="6" w16cid:durableId="1467241706">
    <w:abstractNumId w:val="4"/>
  </w:num>
  <w:num w:numId="7" w16cid:durableId="2134326500">
    <w:abstractNumId w:val="7"/>
  </w:num>
  <w:num w:numId="8" w16cid:durableId="14450341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10B4"/>
    <w:rsid w:val="000920C6"/>
    <w:rsid w:val="000B2B34"/>
    <w:rsid w:val="00113B15"/>
    <w:rsid w:val="001B78A9"/>
    <w:rsid w:val="00257BD1"/>
    <w:rsid w:val="005803BC"/>
    <w:rsid w:val="00A65383"/>
    <w:rsid w:val="00A8675C"/>
    <w:rsid w:val="00AB44B8"/>
    <w:rsid w:val="00C12CFD"/>
    <w:rsid w:val="00EB1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E12214"/>
  <w15:chartTrackingRefBased/>
  <w15:docId w15:val="{F679655A-4C41-4FD5-9D22-AAE75EA65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B10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B10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B10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B10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B10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B10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B10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B10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B10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B10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B10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B10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B10B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B10B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B10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B10B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B10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B10B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B10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B10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B10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B10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B10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B10B4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EB10B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B10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B10B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B10B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B10B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B10B4"/>
  </w:style>
  <w:style w:type="paragraph" w:styleId="Piedepgina">
    <w:name w:val="footer"/>
    <w:basedOn w:val="Normal"/>
    <w:link w:val="PiedepginaCar"/>
    <w:uiPriority w:val="99"/>
    <w:unhideWhenUsed/>
    <w:rsid w:val="00EB10B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B10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936</TotalTime>
  <Pages>5</Pages>
  <Words>984</Words>
  <Characters>5412</Characters>
  <Application>Microsoft Office Word</Application>
  <DocSecurity>0</DocSecurity>
  <Lines>45</Lines>
  <Paragraphs>12</Paragraphs>
  <ScaleCrop>false</ScaleCrop>
  <Company/>
  <LinksUpToDate>false</LinksUpToDate>
  <CharactersWithSpaces>6384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4</cp:revision>
  <dcterms:created xsi:type="dcterms:W3CDTF">2025-11-24T11:25:00Z</dcterms:created>
  <dcterms:modified xsi:type="dcterms:W3CDTF">2026-01-14T14:29:00Z</dcterms:modified>
</cp:coreProperties>
</file>