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55E7" w14:textId="77777777" w:rsidR="00980B4A" w:rsidRPr="00AA418C" w:rsidRDefault="00980B4A" w:rsidP="005A6D0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A418C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5C3B60B3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1.1. Naturaleza y Origen</w:t>
      </w:r>
    </w:p>
    <w:p w14:paraId="6CF98E70" w14:textId="77777777" w:rsidR="00980B4A" w:rsidRPr="00AA418C" w:rsidRDefault="00980B4A" w:rsidP="005A6D0A">
      <w:pPr>
        <w:numPr>
          <w:ilvl w:val="0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Definición:</w:t>
      </w:r>
      <w:r w:rsidRPr="00AA418C">
        <w:rPr>
          <w:rFonts w:ascii="Cambria" w:hAnsi="Cambria"/>
        </w:rPr>
        <w:t xml:space="preserve"> Organización intergubernamental internacional que reúne a los países más industrializados y con economías de mercado.</w:t>
      </w:r>
    </w:p>
    <w:p w14:paraId="3CDA4F9B" w14:textId="77777777" w:rsidR="00980B4A" w:rsidRPr="00AA418C" w:rsidRDefault="00980B4A" w:rsidP="005A6D0A">
      <w:pPr>
        <w:numPr>
          <w:ilvl w:val="0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Función:</w:t>
      </w:r>
      <w:r w:rsidRPr="00AA418C">
        <w:rPr>
          <w:rFonts w:ascii="Cambria" w:hAnsi="Cambria"/>
        </w:rPr>
        <w:t xml:space="preserve"> Foro de debate de políticas económicas y sociales para intercambiar información y armonizar políticas.</w:t>
      </w:r>
    </w:p>
    <w:p w14:paraId="1E2CBCF6" w14:textId="77777777" w:rsidR="00980B4A" w:rsidRPr="00AA418C" w:rsidRDefault="00980B4A" w:rsidP="005A6D0A">
      <w:pPr>
        <w:numPr>
          <w:ilvl w:val="0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Misión:</w:t>
      </w:r>
      <w:r w:rsidRPr="00AA418C">
        <w:rPr>
          <w:rFonts w:ascii="Cambria" w:hAnsi="Cambria"/>
        </w:rPr>
        <w:t xml:space="preserve"> Maximizar el crecimiento económico y coadyuvar al desarrollo de miembros y no miembros, defendiendo la democracia y el libre mercado.</w:t>
      </w:r>
    </w:p>
    <w:p w14:paraId="3559E011" w14:textId="77777777" w:rsidR="00980B4A" w:rsidRPr="00AA418C" w:rsidRDefault="00980B4A" w:rsidP="005A6D0A">
      <w:pPr>
        <w:numPr>
          <w:ilvl w:val="0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Historia:</w:t>
      </w:r>
    </w:p>
    <w:p w14:paraId="53F5B694" w14:textId="01AB915D" w:rsidR="00980B4A" w:rsidRPr="00AA418C" w:rsidRDefault="00980B4A" w:rsidP="005A6D0A">
      <w:pPr>
        <w:numPr>
          <w:ilvl w:val="1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Sucesora de la OECE, creada para coordinar el Plan Marshall.</w:t>
      </w:r>
    </w:p>
    <w:p w14:paraId="146A33C5" w14:textId="77777777" w:rsidR="00980B4A" w:rsidRPr="00AA418C" w:rsidRDefault="00980B4A" w:rsidP="005A6D0A">
      <w:pPr>
        <w:numPr>
          <w:ilvl w:val="1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Constituida como OCDE en 1960, operativa desde septiembre de 1961.</w:t>
      </w:r>
    </w:p>
    <w:p w14:paraId="4950C48A" w14:textId="77777777" w:rsidR="00980B4A" w:rsidRPr="00AA418C" w:rsidRDefault="00980B4A" w:rsidP="005A6D0A">
      <w:pPr>
        <w:numPr>
          <w:ilvl w:val="0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Membresía:</w:t>
      </w:r>
      <w:r w:rsidRPr="00AA418C">
        <w:rPr>
          <w:rFonts w:ascii="Cambria" w:hAnsi="Cambria"/>
        </w:rPr>
        <w:t xml:space="preserve"> Integra a 38 países miembros.</w:t>
      </w:r>
    </w:p>
    <w:p w14:paraId="3A90AFE9" w14:textId="77777777" w:rsidR="00980B4A" w:rsidRPr="00AA418C" w:rsidRDefault="00980B4A" w:rsidP="005A6D0A">
      <w:pPr>
        <w:numPr>
          <w:ilvl w:val="1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Adhesiones recientes: Letonia (2016), Lituania (2018), Colombia (2020) y Costa Rica (2021).</w:t>
      </w:r>
    </w:p>
    <w:p w14:paraId="5BB945F3" w14:textId="77777777" w:rsidR="00980B4A" w:rsidRPr="00AA418C" w:rsidRDefault="00980B4A" w:rsidP="005A6D0A">
      <w:pPr>
        <w:numPr>
          <w:ilvl w:val="1"/>
          <w:numId w:val="16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Suspensión: Rusia, como consecuencia de la crisis de Ucrania.</w:t>
      </w:r>
    </w:p>
    <w:p w14:paraId="6DBD5FFA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1.2. Instrumentos</w:t>
      </w:r>
    </w:p>
    <w:p w14:paraId="1517FED2" w14:textId="77777777" w:rsidR="00980B4A" w:rsidRPr="00AA418C" w:rsidRDefault="00980B4A" w:rsidP="005A6D0A">
      <w:pPr>
        <w:numPr>
          <w:ilvl w:val="0"/>
          <w:numId w:val="17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Vinculantes:</w:t>
      </w:r>
      <w:r w:rsidRPr="00AA418C">
        <w:rPr>
          <w:rFonts w:ascii="Cambria" w:hAnsi="Cambria"/>
        </w:rPr>
        <w:t xml:space="preserve"> Acuerdos donde el consenso es indispensable (ej. Consenso sobre el Crédito a la Exportación).</w:t>
      </w:r>
    </w:p>
    <w:p w14:paraId="549781A6" w14:textId="77777777" w:rsidR="00980B4A" w:rsidRPr="00AA418C" w:rsidRDefault="00980B4A" w:rsidP="005A6D0A">
      <w:pPr>
        <w:numPr>
          <w:ilvl w:val="0"/>
          <w:numId w:val="17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Orientativos:</w:t>
      </w:r>
      <w:r w:rsidRPr="00AA418C">
        <w:rPr>
          <w:rFonts w:ascii="Cambria" w:hAnsi="Cambria"/>
        </w:rPr>
        <w:t xml:space="preserve"> Recomendaciones o declaraciones (ej. Líneas Directrices para Empresas Multinacionales).</w:t>
      </w:r>
    </w:p>
    <w:p w14:paraId="5355A275" w14:textId="77777777" w:rsidR="00980B4A" w:rsidRPr="00AA418C" w:rsidRDefault="00980B4A" w:rsidP="005A6D0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A418C">
        <w:rPr>
          <w:rFonts w:ascii="Cambria" w:hAnsi="Cambria"/>
          <w:b/>
          <w:bCs/>
          <w:color w:val="auto"/>
          <w:sz w:val="28"/>
          <w:szCs w:val="28"/>
        </w:rPr>
        <w:t>2. OBJETIVOS, ESTRUCTURA Y FUNCIONES</w:t>
      </w:r>
    </w:p>
    <w:p w14:paraId="17464496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2.1. Objetivos</w:t>
      </w:r>
    </w:p>
    <w:p w14:paraId="7DC1FF69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Promover políticas que mejoren el bienestar social y económico mundial.</w:t>
      </w:r>
    </w:p>
    <w:p w14:paraId="167065F2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Entender causas de cambios económicos, sociales y medioambientales.</w:t>
      </w:r>
    </w:p>
    <w:p w14:paraId="71039FB2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Medir productividad, flujos de comercio e inversiones y predecir tendencias.</w:t>
      </w:r>
    </w:p>
    <w:p w14:paraId="33126501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Analizar áreas de impacto directo en la población (impuestos, educación, pensiones).</w:t>
      </w:r>
    </w:p>
    <w:p w14:paraId="63B99C38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Áreas de apoyo prioritario:</w:t>
      </w:r>
    </w:p>
    <w:p w14:paraId="62AB0DC6" w14:textId="77777777" w:rsidR="00980B4A" w:rsidRPr="00AA418C" w:rsidRDefault="00980B4A" w:rsidP="005A6D0A">
      <w:pPr>
        <w:numPr>
          <w:ilvl w:val="1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Recobrar confianza en mercados, instituciones y empresas.</w:t>
      </w:r>
    </w:p>
    <w:p w14:paraId="573C4151" w14:textId="77777777" w:rsidR="00980B4A" w:rsidRPr="00AA418C" w:rsidRDefault="00980B4A" w:rsidP="005A6D0A">
      <w:pPr>
        <w:numPr>
          <w:ilvl w:val="1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lastRenderedPageBreak/>
        <w:t>Conseguir finanzas públicas saneadas.</w:t>
      </w:r>
    </w:p>
    <w:p w14:paraId="3DA298D7" w14:textId="77777777" w:rsidR="00980B4A" w:rsidRPr="00AA418C" w:rsidRDefault="00980B4A" w:rsidP="005A6D0A">
      <w:pPr>
        <w:numPr>
          <w:ilvl w:val="1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Desarrollar nuevas fuentes de crecimiento (innovación, economía verde, países emergentes).</w:t>
      </w:r>
    </w:p>
    <w:p w14:paraId="21CE56D6" w14:textId="77777777" w:rsidR="00980B4A" w:rsidRPr="00AA418C" w:rsidRDefault="00980B4A" w:rsidP="005A6D0A">
      <w:pPr>
        <w:numPr>
          <w:ilvl w:val="1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Formación y desarrollo de capacidades laborales.</w:t>
      </w:r>
    </w:p>
    <w:p w14:paraId="03E60459" w14:textId="77777777" w:rsidR="00980B4A" w:rsidRPr="00AA418C" w:rsidRDefault="00980B4A" w:rsidP="005A6D0A">
      <w:pPr>
        <w:numPr>
          <w:ilvl w:val="0"/>
          <w:numId w:val="18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Valores:</w:t>
      </w:r>
      <w:r w:rsidRPr="00AA418C">
        <w:rPr>
          <w:rFonts w:ascii="Cambria" w:hAnsi="Cambria"/>
        </w:rPr>
        <w:t xml:space="preserve"> Objetividad, apertura, audacia, ética y vanguardia.</w:t>
      </w:r>
    </w:p>
    <w:p w14:paraId="2A416B14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2.2. Estructura</w:t>
      </w:r>
    </w:p>
    <w:p w14:paraId="2AB5A034" w14:textId="7A706620" w:rsidR="00980B4A" w:rsidRPr="00AA418C" w:rsidRDefault="00980B4A" w:rsidP="005A6D0A">
      <w:pPr>
        <w:numPr>
          <w:ilvl w:val="0"/>
          <w:numId w:val="19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Sede:</w:t>
      </w:r>
      <w:r w:rsidRPr="00AA418C">
        <w:rPr>
          <w:rFonts w:ascii="Cambria" w:hAnsi="Cambria"/>
        </w:rPr>
        <w:t xml:space="preserve"> París</w:t>
      </w:r>
      <w:r w:rsidR="00300971" w:rsidRPr="00AA418C">
        <w:rPr>
          <w:rFonts w:ascii="Cambria" w:hAnsi="Cambria"/>
        </w:rPr>
        <w:t>.</w:t>
      </w:r>
    </w:p>
    <w:p w14:paraId="14CFBEBD" w14:textId="77777777" w:rsidR="00980B4A" w:rsidRPr="00AA418C" w:rsidRDefault="00980B4A" w:rsidP="005A6D0A">
      <w:pPr>
        <w:numPr>
          <w:ilvl w:val="0"/>
          <w:numId w:val="19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Financiación:</w:t>
      </w:r>
      <w:r w:rsidRPr="00AA418C">
        <w:rPr>
          <w:rFonts w:ascii="Cambria" w:hAnsi="Cambria"/>
        </w:rPr>
        <w:t xml:space="preserve"> Aportaciones de miembros según tamaño (EE. UU. ~21%, Japón 2º) y aportaciones voluntarias. Presupuesto bienal. No concede préstamos.</w:t>
      </w:r>
    </w:p>
    <w:p w14:paraId="00D515F5" w14:textId="77777777" w:rsidR="00980B4A" w:rsidRPr="00AA418C" w:rsidRDefault="00980B4A" w:rsidP="005A6D0A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2.2.1. Órganos Principales</w:t>
      </w:r>
    </w:p>
    <w:p w14:paraId="09B7FB73" w14:textId="77777777" w:rsidR="00980B4A" w:rsidRPr="00AA418C" w:rsidRDefault="00980B4A" w:rsidP="005A6D0A">
      <w:pPr>
        <w:numPr>
          <w:ilvl w:val="0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Consejo:</w:t>
      </w:r>
    </w:p>
    <w:p w14:paraId="72361B08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Máxima autoridad (órgano de gobierno).</w:t>
      </w:r>
    </w:p>
    <w:p w14:paraId="20B7E65A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Composición: Un representante por Estado Miembro + Comisión Europea.</w:t>
      </w:r>
    </w:p>
    <w:p w14:paraId="4A0CBDDF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 xml:space="preserve">Presidencia: </w:t>
      </w:r>
      <w:proofErr w:type="gramStart"/>
      <w:r w:rsidRPr="00AA418C">
        <w:rPr>
          <w:rFonts w:ascii="Cambria" w:hAnsi="Cambria"/>
        </w:rPr>
        <w:t>Secretario General</w:t>
      </w:r>
      <w:proofErr w:type="gramEnd"/>
      <w:r w:rsidRPr="00AA418C">
        <w:rPr>
          <w:rFonts w:ascii="Cambria" w:hAnsi="Cambria"/>
        </w:rPr>
        <w:t xml:space="preserve"> (</w:t>
      </w:r>
      <w:proofErr w:type="spellStart"/>
      <w:r w:rsidRPr="00AA418C">
        <w:rPr>
          <w:rFonts w:ascii="Cambria" w:hAnsi="Cambria"/>
        </w:rPr>
        <w:t>Mathias</w:t>
      </w:r>
      <w:proofErr w:type="spellEnd"/>
      <w:r w:rsidRPr="00AA418C">
        <w:rPr>
          <w:rFonts w:ascii="Cambria" w:hAnsi="Cambria"/>
        </w:rPr>
        <w:t xml:space="preserve"> Cormann).</w:t>
      </w:r>
    </w:p>
    <w:p w14:paraId="65DCF02C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Reuniones: Nivel ministerial (anual) y Delegación Permanente (regular, Embajadores).</w:t>
      </w:r>
    </w:p>
    <w:p w14:paraId="67F6B1DB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Toma de decisiones: Un voto por país. La unanimidad es vinculante; el consenso se manifiesta en recomendaciones.</w:t>
      </w:r>
    </w:p>
    <w:p w14:paraId="7E1211A5" w14:textId="77777777" w:rsidR="00980B4A" w:rsidRPr="00AA418C" w:rsidRDefault="00980B4A" w:rsidP="005A6D0A">
      <w:pPr>
        <w:numPr>
          <w:ilvl w:val="0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Comités:</w:t>
      </w:r>
    </w:p>
    <w:p w14:paraId="163BE726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Más de 300 foros (Grupos de Trabajo, Expertos) donde se desarrolla el trabajo analítico.</w:t>
      </w:r>
    </w:p>
    <w:p w14:paraId="131F4831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Funciones: Intercambiar información, verificar progresos y formular recomendaciones de políticas.</w:t>
      </w:r>
    </w:p>
    <w:p w14:paraId="322139CC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Áreas clave: Política Económica, Medioambiente, Comercio, Asuntos Fiscales, Agricultura, Ayuda al Desarrollo, Educación, Empleo, etc.</w:t>
      </w:r>
    </w:p>
    <w:p w14:paraId="3FB31137" w14:textId="77777777" w:rsidR="00980B4A" w:rsidRPr="00AA418C" w:rsidRDefault="00980B4A" w:rsidP="005A6D0A">
      <w:pPr>
        <w:numPr>
          <w:ilvl w:val="0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Secretaría:</w:t>
      </w:r>
    </w:p>
    <w:p w14:paraId="53A8371B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 xml:space="preserve">Dirigida por el </w:t>
      </w:r>
      <w:proofErr w:type="gramStart"/>
      <w:r w:rsidRPr="00AA418C">
        <w:rPr>
          <w:rFonts w:ascii="Cambria" w:hAnsi="Cambria"/>
        </w:rPr>
        <w:t>Secretario General</w:t>
      </w:r>
      <w:proofErr w:type="gramEnd"/>
      <w:r w:rsidRPr="00AA418C">
        <w:rPr>
          <w:rFonts w:ascii="Cambria" w:hAnsi="Cambria"/>
        </w:rPr>
        <w:t>, apoyado por 3 Adjuntos y 14 Direcciones Generales.</w:t>
      </w:r>
    </w:p>
    <w:p w14:paraId="7756F5A0" w14:textId="77777777" w:rsidR="00980B4A" w:rsidRPr="00AA418C" w:rsidRDefault="00980B4A" w:rsidP="005A6D0A">
      <w:pPr>
        <w:numPr>
          <w:ilvl w:val="1"/>
          <w:numId w:val="2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Personal: Más de 3.300 personas que dan apoyo a los Comités.</w:t>
      </w:r>
    </w:p>
    <w:p w14:paraId="5E19EDC4" w14:textId="668F2846" w:rsidR="00980B4A" w:rsidRPr="00AA418C" w:rsidRDefault="00980B4A" w:rsidP="005A6D0A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 xml:space="preserve">2.2.2. Órganos Vinculados </w:t>
      </w:r>
    </w:p>
    <w:p w14:paraId="23C34EBF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Agencia de la Energía Nuclear (AEN).</w:t>
      </w:r>
    </w:p>
    <w:p w14:paraId="16B0C75C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lastRenderedPageBreak/>
        <w:t>Agencia Internacional de la Energía (AIE).</w:t>
      </w:r>
    </w:p>
    <w:p w14:paraId="16DCE353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Foro Internacional del Transporte (FIT).</w:t>
      </w:r>
    </w:p>
    <w:p w14:paraId="3309A4E5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Centro para el Desarrollo.</w:t>
      </w:r>
    </w:p>
    <w:p w14:paraId="1407B272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Grupo de Acción Financiera (GAFI/FATF).</w:t>
      </w:r>
    </w:p>
    <w:p w14:paraId="06557D4F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Centro de Investigación Educativa e Innovación (CERI).</w:t>
      </w:r>
    </w:p>
    <w:p w14:paraId="18B4F487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Club Sahel y África Occidental (SWAC).</w:t>
      </w:r>
    </w:p>
    <w:p w14:paraId="711594B0" w14:textId="77777777" w:rsidR="00980B4A" w:rsidRPr="00AA418C" w:rsidRDefault="00980B4A" w:rsidP="005A6D0A">
      <w:pPr>
        <w:numPr>
          <w:ilvl w:val="0"/>
          <w:numId w:val="21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Otros:</w:t>
      </w:r>
      <w:r w:rsidRPr="00AA418C">
        <w:rPr>
          <w:rFonts w:ascii="Cambria" w:hAnsi="Cambria"/>
        </w:rPr>
        <w:t xml:space="preserve"> Programa SIGMA (apoyo a economías en transición) y Consenso de Crédito a la Exportación.</w:t>
      </w:r>
    </w:p>
    <w:p w14:paraId="63F6263C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2.3. Funciones Generales</w:t>
      </w:r>
    </w:p>
    <w:p w14:paraId="7525C733" w14:textId="77777777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Foro para la reflexión, discusión y búsqueda de consenso.</w:t>
      </w:r>
    </w:p>
    <w:p w14:paraId="4557F5F3" w14:textId="77777777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Investigación y análisis para ayudar al diseño de políticas gubernamentales.</w:t>
      </w:r>
    </w:p>
    <w:p w14:paraId="5A834005" w14:textId="77777777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Identificación de obstáculos a la eficiencia y crecimiento económico.</w:t>
      </w:r>
    </w:p>
    <w:p w14:paraId="783BEA5D" w14:textId="77777777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Fuente estadística fiable y comparable (economía, comercio, salud, medioambiente).</w:t>
      </w:r>
    </w:p>
    <w:p w14:paraId="2D9AD6DD" w14:textId="5D8341B7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Interacción con actores no gubernamentales</w:t>
      </w:r>
      <w:r w:rsidR="00300971" w:rsidRPr="00AA418C">
        <w:rPr>
          <w:rFonts w:ascii="Cambria" w:hAnsi="Cambria"/>
        </w:rPr>
        <w:t>.</w:t>
      </w:r>
    </w:p>
    <w:p w14:paraId="2831B77A" w14:textId="1A2C8232" w:rsidR="00980B4A" w:rsidRPr="00AA418C" w:rsidRDefault="00980B4A" w:rsidP="005A6D0A">
      <w:pPr>
        <w:numPr>
          <w:ilvl w:val="0"/>
          <w:numId w:val="22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Representación española:</w:t>
      </w:r>
      <w:r w:rsidRPr="00AA418C">
        <w:rPr>
          <w:rFonts w:ascii="Cambria" w:hAnsi="Cambria"/>
        </w:rPr>
        <w:t xml:space="preserve"> Dirección General de </w:t>
      </w:r>
      <w:r w:rsidR="00300971" w:rsidRPr="00AA418C">
        <w:rPr>
          <w:rFonts w:ascii="Cambria" w:hAnsi="Cambria"/>
        </w:rPr>
        <w:t xml:space="preserve">Inteligencia Económica y Comercial </w:t>
      </w:r>
      <w:r w:rsidRPr="00AA418C">
        <w:rPr>
          <w:rFonts w:ascii="Cambria" w:hAnsi="Cambria"/>
        </w:rPr>
        <w:t>y D.G. de Política Comercial</w:t>
      </w:r>
      <w:r w:rsidR="00300971" w:rsidRPr="00AA418C">
        <w:rPr>
          <w:rFonts w:ascii="Cambria" w:hAnsi="Cambria"/>
        </w:rPr>
        <w:t xml:space="preserve"> y Seguridad Económica</w:t>
      </w:r>
      <w:r w:rsidRPr="00AA418C">
        <w:rPr>
          <w:rFonts w:ascii="Cambria" w:hAnsi="Cambria"/>
        </w:rPr>
        <w:t xml:space="preserve"> (MECE).</w:t>
      </w:r>
    </w:p>
    <w:p w14:paraId="165878F9" w14:textId="77777777" w:rsidR="00980B4A" w:rsidRPr="00AA418C" w:rsidRDefault="00980B4A" w:rsidP="005A6D0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A418C">
        <w:rPr>
          <w:rFonts w:ascii="Cambria" w:hAnsi="Cambria"/>
          <w:b/>
          <w:bCs/>
          <w:color w:val="auto"/>
          <w:sz w:val="28"/>
          <w:szCs w:val="28"/>
        </w:rPr>
        <w:t>3. PRINCIPALES ÁMBITOS DE ACTIVIDAD</w:t>
      </w:r>
    </w:p>
    <w:p w14:paraId="5B259E08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3.1. Desarrollo Sostenible y Economía</w:t>
      </w:r>
    </w:p>
    <w:p w14:paraId="4D2C6DE0" w14:textId="77777777" w:rsidR="00980B4A" w:rsidRPr="00AA418C" w:rsidRDefault="00980B4A" w:rsidP="005A6D0A">
      <w:pPr>
        <w:numPr>
          <w:ilvl w:val="0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Pilares:</w:t>
      </w:r>
      <w:r w:rsidRPr="00AA418C">
        <w:rPr>
          <w:rFonts w:ascii="Cambria" w:hAnsi="Cambria"/>
        </w:rPr>
        <w:t xml:space="preserve"> Crecimiento económico, desarrollo social y protección medioambiental.</w:t>
      </w:r>
    </w:p>
    <w:p w14:paraId="3C800377" w14:textId="77777777" w:rsidR="00980B4A" w:rsidRPr="00AA418C" w:rsidRDefault="00980B4A" w:rsidP="005A6D0A">
      <w:pPr>
        <w:numPr>
          <w:ilvl w:val="0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Reformas estructurales:</w:t>
      </w:r>
      <w:r w:rsidRPr="00AA418C">
        <w:rPr>
          <w:rFonts w:ascii="Cambria" w:hAnsi="Cambria"/>
        </w:rPr>
        <w:t xml:space="preserve"> Análisis de competencia, empleo, migración, comercio e inversión.</w:t>
      </w:r>
    </w:p>
    <w:p w14:paraId="1611C4F3" w14:textId="77777777" w:rsidR="00980B4A" w:rsidRPr="00AA418C" w:rsidRDefault="00980B4A" w:rsidP="005A6D0A">
      <w:pPr>
        <w:numPr>
          <w:ilvl w:val="0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Fiscalidad:</w:t>
      </w:r>
      <w:r w:rsidRPr="00AA418C">
        <w:rPr>
          <w:rFonts w:ascii="Cambria" w:hAnsi="Cambria"/>
        </w:rPr>
        <w:t xml:space="preserve"> </w:t>
      </w:r>
      <w:r w:rsidRPr="00AA418C">
        <w:rPr>
          <w:rFonts w:ascii="Cambria" w:hAnsi="Cambria"/>
          <w:u w:val="single"/>
        </w:rPr>
        <w:t>Estándar para intercambio automático de información financiera</w:t>
      </w:r>
      <w:r w:rsidRPr="00AA418C">
        <w:rPr>
          <w:rFonts w:ascii="Cambria" w:hAnsi="Cambria"/>
        </w:rPr>
        <w:t xml:space="preserve"> (2014); fin del secreto bancario con más de 70 países adheridos.</w:t>
      </w:r>
    </w:p>
    <w:p w14:paraId="42BD5427" w14:textId="3E91D566" w:rsidR="00980B4A" w:rsidRPr="00AA418C" w:rsidRDefault="00980B4A" w:rsidP="005A6D0A">
      <w:pPr>
        <w:numPr>
          <w:ilvl w:val="0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Asuntos Económicos</w:t>
      </w:r>
      <w:r w:rsidR="00300971" w:rsidRPr="00AA418C">
        <w:rPr>
          <w:rFonts w:ascii="Cambria" w:hAnsi="Cambria"/>
          <w:b/>
          <w:bCs/>
        </w:rPr>
        <w:t>:</w:t>
      </w:r>
    </w:p>
    <w:p w14:paraId="745226A5" w14:textId="77777777" w:rsidR="00980B4A" w:rsidRPr="00AA418C" w:rsidRDefault="00980B4A" w:rsidP="005A6D0A">
      <w:pPr>
        <w:numPr>
          <w:ilvl w:val="1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Vigilancia macroeconómica y análisis de políticas estructurales.</w:t>
      </w:r>
    </w:p>
    <w:p w14:paraId="0EA176EA" w14:textId="77777777" w:rsidR="00980B4A" w:rsidRPr="00AA418C" w:rsidRDefault="00980B4A" w:rsidP="005A6D0A">
      <w:pPr>
        <w:numPr>
          <w:ilvl w:val="1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 xml:space="preserve">Publicaciones principales: </w:t>
      </w:r>
      <w:r w:rsidRPr="00AA418C">
        <w:rPr>
          <w:rFonts w:ascii="Cambria" w:hAnsi="Cambria"/>
          <w:u w:val="single"/>
        </w:rPr>
        <w:t>Perspectivas Económicas</w:t>
      </w:r>
      <w:r w:rsidRPr="00AA418C">
        <w:rPr>
          <w:rFonts w:ascii="Cambria" w:hAnsi="Cambria"/>
        </w:rPr>
        <w:t xml:space="preserve"> (semestral) y </w:t>
      </w:r>
      <w:r w:rsidRPr="00AA418C">
        <w:rPr>
          <w:rFonts w:ascii="Cambria" w:hAnsi="Cambria"/>
          <w:u w:val="single"/>
        </w:rPr>
        <w:t>Estudios Económicos</w:t>
      </w:r>
      <w:r w:rsidRPr="00AA418C">
        <w:rPr>
          <w:rFonts w:ascii="Cambria" w:hAnsi="Cambria"/>
        </w:rPr>
        <w:t xml:space="preserve"> por país (cada 18 meses).</w:t>
      </w:r>
    </w:p>
    <w:p w14:paraId="635BA2EE" w14:textId="77777777" w:rsidR="00980B4A" w:rsidRPr="00AA418C" w:rsidRDefault="00980B4A" w:rsidP="005A6D0A">
      <w:pPr>
        <w:numPr>
          <w:ilvl w:val="1"/>
          <w:numId w:val="23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Estudios sectoriales: Agricultura (reforma PAC), Siderurgia (exceso de capacidad), Sectores tecnológicos (TIC, bio).</w:t>
      </w:r>
    </w:p>
    <w:p w14:paraId="4D867FF1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lastRenderedPageBreak/>
        <w:t>3.2. Energía</w:t>
      </w:r>
    </w:p>
    <w:p w14:paraId="3BE72794" w14:textId="77777777" w:rsidR="00980B4A" w:rsidRPr="00AA418C" w:rsidRDefault="00980B4A" w:rsidP="005A6D0A">
      <w:pPr>
        <w:numPr>
          <w:ilvl w:val="0"/>
          <w:numId w:val="2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Agencia Internacional de la Energía (AIE):</w:t>
      </w:r>
      <w:r w:rsidRPr="00AA418C">
        <w:rPr>
          <w:rFonts w:ascii="Cambria" w:hAnsi="Cambria"/>
        </w:rPr>
        <w:t xml:space="preserve"> Creada en 1974 tras la crisis del petróleo. 31 miembros. Foco en seguridad energética, desarrollo económico y protección medioambiental.</w:t>
      </w:r>
    </w:p>
    <w:p w14:paraId="2DE6293D" w14:textId="77777777" w:rsidR="00980B4A" w:rsidRPr="00AA418C" w:rsidRDefault="00980B4A" w:rsidP="005A6D0A">
      <w:pPr>
        <w:numPr>
          <w:ilvl w:val="0"/>
          <w:numId w:val="2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Agencia de la Energía Nuclear (AEN):</w:t>
      </w:r>
      <w:r w:rsidRPr="00AA418C">
        <w:rPr>
          <w:rFonts w:ascii="Cambria" w:hAnsi="Cambria"/>
        </w:rPr>
        <w:t xml:space="preserve"> Creada en 1958. 30 miembros + asociados. Aspectos científicos, legales y de seguridad para fines pacíficos.</w:t>
      </w:r>
    </w:p>
    <w:p w14:paraId="71C8E625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3.3. Cooperación y Desarrollo</w:t>
      </w:r>
    </w:p>
    <w:p w14:paraId="4332033E" w14:textId="77777777" w:rsidR="00980B4A" w:rsidRPr="00AA418C" w:rsidRDefault="00980B4A" w:rsidP="005A6D0A">
      <w:pPr>
        <w:numPr>
          <w:ilvl w:val="0"/>
          <w:numId w:val="25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Comité de Asistencia al Desarrollo (CAD):</w:t>
      </w:r>
      <w:r w:rsidRPr="00AA418C">
        <w:rPr>
          <w:rFonts w:ascii="Cambria" w:hAnsi="Cambria"/>
        </w:rPr>
        <w:t xml:space="preserve"> Fomenta y armoniza la asistencia (sus miembros aportan el 90% de la ayuda global).</w:t>
      </w:r>
    </w:p>
    <w:p w14:paraId="70B32747" w14:textId="296FAACE" w:rsidR="00980B4A" w:rsidRPr="00AA418C" w:rsidRDefault="00980B4A" w:rsidP="005A6D0A">
      <w:pPr>
        <w:numPr>
          <w:ilvl w:val="0"/>
          <w:numId w:val="25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Vinculación con los Objetivos de Desarrollo del Milenio y la Agenda 2030.</w:t>
      </w:r>
    </w:p>
    <w:p w14:paraId="23F6D31E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3.4. Comercio</w:t>
      </w:r>
    </w:p>
    <w:p w14:paraId="4F0DF758" w14:textId="77777777" w:rsidR="00980B4A" w:rsidRPr="00AA418C" w:rsidRDefault="00980B4A" w:rsidP="005A6D0A">
      <w:pPr>
        <w:numPr>
          <w:ilvl w:val="0"/>
          <w:numId w:val="26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Promoción de un sistema abierto de comercio basado en reglas multilaterales. Apoyo analítico a la Ronda Uruguay.</w:t>
      </w:r>
    </w:p>
    <w:p w14:paraId="65D6D5D1" w14:textId="2C749ECE" w:rsidR="00980B4A" w:rsidRPr="00AA418C" w:rsidRDefault="00980B4A" w:rsidP="005A6D0A">
      <w:pPr>
        <w:numPr>
          <w:ilvl w:val="0"/>
          <w:numId w:val="2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Consenso OCDE:</w:t>
      </w:r>
      <w:r w:rsidRPr="00AA418C">
        <w:rPr>
          <w:rFonts w:ascii="Cambria" w:hAnsi="Cambria"/>
        </w:rPr>
        <w:t xml:space="preserve"> Acuerdo informal para disciplinar la financiación del comercio exterior</w:t>
      </w:r>
      <w:r w:rsidR="00300971" w:rsidRPr="00AA418C">
        <w:rPr>
          <w:rFonts w:ascii="Cambria" w:hAnsi="Cambria"/>
        </w:rPr>
        <w:t xml:space="preserve"> </w:t>
      </w:r>
      <w:r w:rsidRPr="00AA418C">
        <w:rPr>
          <w:rFonts w:ascii="Cambria" w:hAnsi="Cambria"/>
        </w:rPr>
        <w:t>estableciendo tipos de referencia y plazos.</w:t>
      </w:r>
    </w:p>
    <w:p w14:paraId="7DD58D83" w14:textId="77777777" w:rsidR="00980B4A" w:rsidRPr="00AA418C" w:rsidRDefault="00980B4A" w:rsidP="005A6D0A">
      <w:pPr>
        <w:numPr>
          <w:ilvl w:val="0"/>
          <w:numId w:val="26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Códigos de Liberalización:</w:t>
      </w:r>
      <w:r w:rsidRPr="00AA418C">
        <w:rPr>
          <w:rFonts w:ascii="Cambria" w:hAnsi="Cambria"/>
        </w:rPr>
        <w:t xml:space="preserve"> Operaciones invisibles corrientes y movimientos de capital.</w:t>
      </w:r>
    </w:p>
    <w:p w14:paraId="04A2CB96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3.5. Estadística y Administración</w:t>
      </w:r>
    </w:p>
    <w:p w14:paraId="7468E9AB" w14:textId="77777777" w:rsidR="00980B4A" w:rsidRPr="00AA418C" w:rsidRDefault="00980B4A" w:rsidP="005A6D0A">
      <w:pPr>
        <w:numPr>
          <w:ilvl w:val="0"/>
          <w:numId w:val="27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Estadísticas:</w:t>
      </w:r>
      <w:r w:rsidRPr="00AA418C">
        <w:rPr>
          <w:rFonts w:ascii="Cambria" w:hAnsi="Cambria"/>
        </w:rPr>
        <w:t xml:space="preserve"> Armonización de datos para facilitar comparaciones internacionales (cuentas nacionales, energía, I+D).</w:t>
      </w:r>
    </w:p>
    <w:p w14:paraId="77D93D74" w14:textId="77777777" w:rsidR="00980B4A" w:rsidRPr="00AA418C" w:rsidRDefault="00980B4A" w:rsidP="005A6D0A">
      <w:pPr>
        <w:numPr>
          <w:ilvl w:val="0"/>
          <w:numId w:val="27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Administración Pública:</w:t>
      </w:r>
      <w:r w:rsidRPr="00AA418C">
        <w:rPr>
          <w:rFonts w:ascii="Cambria" w:hAnsi="Cambria"/>
        </w:rPr>
        <w:t xml:space="preserve"> Programa SIGMA (mejora de gobernanza en Europa del Este, financiado por UE).</w:t>
      </w:r>
    </w:p>
    <w:p w14:paraId="6417808D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3.6. Agricultura (Dirección de Comercio y Agricultura - TAD)</w:t>
      </w:r>
    </w:p>
    <w:p w14:paraId="74AB9356" w14:textId="77777777" w:rsidR="00980B4A" w:rsidRPr="00AA418C" w:rsidRDefault="00980B4A" w:rsidP="005A6D0A">
      <w:pPr>
        <w:numPr>
          <w:ilvl w:val="0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Apoyo a la liberalización comercial y desarrollo sostenible.</w:t>
      </w:r>
    </w:p>
    <w:p w14:paraId="75403C94" w14:textId="77777777" w:rsidR="00980B4A" w:rsidRPr="00AA418C" w:rsidRDefault="00980B4A" w:rsidP="005A6D0A">
      <w:pPr>
        <w:numPr>
          <w:ilvl w:val="0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Perspectivas Agrícolas OCDE/FAO:</w:t>
      </w:r>
      <w:r w:rsidRPr="00AA418C">
        <w:rPr>
          <w:rFonts w:ascii="Cambria" w:hAnsi="Cambria"/>
        </w:rPr>
        <w:t xml:space="preserve"> Publicación anual con previsiones de mercado a 10 años.</w:t>
      </w:r>
    </w:p>
    <w:p w14:paraId="3C610129" w14:textId="77777777" w:rsidR="00980B4A" w:rsidRPr="00AA418C" w:rsidRDefault="00980B4A" w:rsidP="005A6D0A">
      <w:pPr>
        <w:numPr>
          <w:ilvl w:val="0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Esquemas y Códigos de la OCDE:</w:t>
      </w:r>
    </w:p>
    <w:p w14:paraId="7076646C" w14:textId="77777777" w:rsidR="00980B4A" w:rsidRPr="00AA418C" w:rsidRDefault="00980B4A" w:rsidP="005A6D0A">
      <w:pPr>
        <w:numPr>
          <w:ilvl w:val="1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t>Material Reproductivo de Bosques:</w:t>
      </w:r>
      <w:r w:rsidRPr="00AA418C">
        <w:rPr>
          <w:rFonts w:ascii="Cambria" w:hAnsi="Cambria"/>
        </w:rPr>
        <w:t xml:space="preserve"> Certificación y etiquetado para asegurar identidad (29 países).</w:t>
      </w:r>
    </w:p>
    <w:p w14:paraId="08F77DF8" w14:textId="77777777" w:rsidR="00980B4A" w:rsidRPr="00AA418C" w:rsidRDefault="00980B4A" w:rsidP="005A6D0A">
      <w:pPr>
        <w:numPr>
          <w:ilvl w:val="1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t>Semillas:</w:t>
      </w:r>
      <w:r w:rsidRPr="00AA418C">
        <w:rPr>
          <w:rFonts w:ascii="Cambria" w:hAnsi="Cambria"/>
        </w:rPr>
        <w:t xml:space="preserve"> Marco de certificación varietal para promover semillas de alta calidad (61 países, 50.000 variedades).</w:t>
      </w:r>
    </w:p>
    <w:p w14:paraId="19A85AF4" w14:textId="77777777" w:rsidR="00980B4A" w:rsidRPr="00AA418C" w:rsidRDefault="00980B4A" w:rsidP="005A6D0A">
      <w:pPr>
        <w:numPr>
          <w:ilvl w:val="1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t>Tractores:</w:t>
      </w:r>
      <w:r w:rsidRPr="00AA418C">
        <w:rPr>
          <w:rFonts w:ascii="Cambria" w:hAnsi="Cambria"/>
        </w:rPr>
        <w:t xml:space="preserve"> Códigos de seguridad (cabinas) y evaluación de ruido.</w:t>
      </w:r>
    </w:p>
    <w:p w14:paraId="6AB5FD88" w14:textId="77777777" w:rsidR="00980B4A" w:rsidRPr="00AA418C" w:rsidRDefault="00980B4A" w:rsidP="005A6D0A">
      <w:pPr>
        <w:numPr>
          <w:ilvl w:val="1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t>Frutas y Hortalizas:</w:t>
      </w:r>
    </w:p>
    <w:p w14:paraId="62CC41C4" w14:textId="7619F254" w:rsidR="00980B4A" w:rsidRPr="00AA418C" w:rsidRDefault="00300971" w:rsidP="005A6D0A">
      <w:pPr>
        <w:numPr>
          <w:ilvl w:val="2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</w:t>
      </w:r>
      <w:r w:rsidR="00980B4A" w:rsidRPr="00AA418C">
        <w:rPr>
          <w:rFonts w:ascii="Cambria" w:hAnsi="Cambria"/>
        </w:rPr>
        <w:t>bierto a miembros ONU/OMC. 26 miembros + Brasil.</w:t>
      </w:r>
    </w:p>
    <w:p w14:paraId="5103E39A" w14:textId="77777777" w:rsidR="00980B4A" w:rsidRPr="00AA418C" w:rsidRDefault="00980B4A" w:rsidP="005A6D0A">
      <w:pPr>
        <w:numPr>
          <w:ilvl w:val="2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lastRenderedPageBreak/>
        <w:t xml:space="preserve">Objetivo: </w:t>
      </w:r>
      <w:r w:rsidRPr="00AA418C">
        <w:rPr>
          <w:rFonts w:ascii="Cambria" w:hAnsi="Cambria"/>
        </w:rPr>
        <w:t>Facilitar el comercio mediante normas de calidad y métodos de control armonizados.</w:t>
      </w:r>
    </w:p>
    <w:p w14:paraId="1D3F7E43" w14:textId="77777777" w:rsidR="00980B4A" w:rsidRPr="00AA418C" w:rsidRDefault="00980B4A" w:rsidP="005A6D0A">
      <w:pPr>
        <w:numPr>
          <w:ilvl w:val="2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  <w:u w:val="single"/>
        </w:rPr>
        <w:t>Gestión</w:t>
      </w:r>
      <w:r w:rsidRPr="00AA418C">
        <w:rPr>
          <w:rFonts w:ascii="Cambria" w:hAnsi="Cambria"/>
        </w:rPr>
        <w:t>: Reunión Plenaria anual y Consejo OCDE.</w:t>
      </w:r>
    </w:p>
    <w:p w14:paraId="27DB98B9" w14:textId="77777777" w:rsidR="00980B4A" w:rsidRPr="00AA418C" w:rsidRDefault="00980B4A" w:rsidP="005A6D0A">
      <w:pPr>
        <w:numPr>
          <w:ilvl w:val="2"/>
          <w:numId w:val="28"/>
        </w:numPr>
        <w:jc w:val="both"/>
        <w:rPr>
          <w:rFonts w:ascii="Cambria" w:hAnsi="Cambria"/>
          <w:u w:val="single"/>
        </w:rPr>
      </w:pPr>
      <w:r w:rsidRPr="00AA418C">
        <w:rPr>
          <w:rFonts w:ascii="Cambria" w:hAnsi="Cambria"/>
          <w:u w:val="single"/>
        </w:rPr>
        <w:t>Actividades principales:</w:t>
      </w:r>
    </w:p>
    <w:p w14:paraId="2E7EB684" w14:textId="77777777" w:rsidR="00980B4A" w:rsidRPr="00AA418C" w:rsidRDefault="00980B4A" w:rsidP="005A6D0A">
      <w:pPr>
        <w:numPr>
          <w:ilvl w:val="3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Adaptación de normas CEPE/NU y Codex.</w:t>
      </w:r>
    </w:p>
    <w:p w14:paraId="4E2CC077" w14:textId="3DA087B3" w:rsidR="00980B4A" w:rsidRPr="00AA418C" w:rsidRDefault="00980B4A" w:rsidP="005A6D0A">
      <w:pPr>
        <w:numPr>
          <w:ilvl w:val="3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 xml:space="preserve">Elaboración de Folletos Interpretativos </w:t>
      </w:r>
    </w:p>
    <w:p w14:paraId="25E07F42" w14:textId="77777777" w:rsidR="00980B4A" w:rsidRPr="00AA418C" w:rsidRDefault="00980B4A" w:rsidP="005A6D0A">
      <w:pPr>
        <w:numPr>
          <w:ilvl w:val="3"/>
          <w:numId w:val="28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 xml:space="preserve">Organización de cursos, talleres y reuniones de </w:t>
      </w:r>
      <w:proofErr w:type="gramStart"/>
      <w:r w:rsidRPr="00AA418C">
        <w:rPr>
          <w:rFonts w:ascii="Cambria" w:hAnsi="Cambria"/>
        </w:rPr>
        <w:t>Jefes</w:t>
      </w:r>
      <w:proofErr w:type="gramEnd"/>
      <w:r w:rsidRPr="00AA418C">
        <w:rPr>
          <w:rFonts w:ascii="Cambria" w:hAnsi="Cambria"/>
        </w:rPr>
        <w:t xml:space="preserve"> de Servicios de Inspección.</w:t>
      </w:r>
    </w:p>
    <w:p w14:paraId="168F22C1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3.7. Asuntos Financieros y Empresariales</w:t>
      </w:r>
    </w:p>
    <w:p w14:paraId="0C34F21A" w14:textId="77777777" w:rsidR="00980B4A" w:rsidRPr="00AA418C" w:rsidRDefault="00980B4A" w:rsidP="005A6D0A">
      <w:pPr>
        <w:numPr>
          <w:ilvl w:val="0"/>
          <w:numId w:val="29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Convenio de Lucha contra la Corrupción:</w:t>
      </w:r>
      <w:r w:rsidRPr="00AA418C">
        <w:rPr>
          <w:rFonts w:ascii="Cambria" w:hAnsi="Cambria"/>
        </w:rPr>
        <w:t xml:space="preserve"> Tipifica como delito el cohecho a funcionarios públicos extranjeros.</w:t>
      </w:r>
    </w:p>
    <w:p w14:paraId="66387475" w14:textId="24E6D263" w:rsidR="00980B4A" w:rsidRPr="00AA418C" w:rsidRDefault="00980B4A" w:rsidP="005A6D0A">
      <w:pPr>
        <w:numPr>
          <w:ilvl w:val="0"/>
          <w:numId w:val="29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Líneas Directrices para Empresas Multinacionales:</w:t>
      </w:r>
      <w:r w:rsidRPr="00AA418C">
        <w:rPr>
          <w:rFonts w:ascii="Cambria" w:hAnsi="Cambria"/>
        </w:rPr>
        <w:t xml:space="preserve"> </w:t>
      </w:r>
    </w:p>
    <w:p w14:paraId="1ED8A25E" w14:textId="77777777" w:rsidR="00980B4A" w:rsidRPr="00AA418C" w:rsidRDefault="00980B4A" w:rsidP="005A6D0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A418C">
        <w:rPr>
          <w:rFonts w:ascii="Cambria" w:hAnsi="Cambria"/>
          <w:b/>
          <w:bCs/>
          <w:color w:val="auto"/>
          <w:sz w:val="28"/>
          <w:szCs w:val="28"/>
        </w:rPr>
        <w:t>4. LÍNEAS DIRECTRICES DE LA OCDE PARA MULTINACIONALES</w:t>
      </w:r>
    </w:p>
    <w:p w14:paraId="77D9BF45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4.1. Definición y Naturaleza</w:t>
      </w:r>
    </w:p>
    <w:p w14:paraId="778BB313" w14:textId="77777777" w:rsidR="00980B4A" w:rsidRPr="00AA418C" w:rsidRDefault="00980B4A" w:rsidP="005A6D0A">
      <w:pPr>
        <w:numPr>
          <w:ilvl w:val="0"/>
          <w:numId w:val="3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Recomendaciones dirigidas por los gobiernos a empresas multinacionales para una conducta empresarial responsable (CER).</w:t>
      </w:r>
    </w:p>
    <w:p w14:paraId="4561C73A" w14:textId="77777777" w:rsidR="00980B4A" w:rsidRPr="00AA418C" w:rsidRDefault="00980B4A" w:rsidP="005A6D0A">
      <w:pPr>
        <w:numPr>
          <w:ilvl w:val="0"/>
          <w:numId w:val="30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Principios y normas no vinculantes, conformes con leyes aplicables y normas internacionales.</w:t>
      </w:r>
    </w:p>
    <w:p w14:paraId="5324E87E" w14:textId="77777777" w:rsidR="00980B4A" w:rsidRPr="00AA418C" w:rsidRDefault="00980B4A" w:rsidP="005A6D0A">
      <w:pPr>
        <w:numPr>
          <w:ilvl w:val="0"/>
          <w:numId w:val="30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Objetivos:</w:t>
      </w:r>
      <w:r w:rsidRPr="00AA418C">
        <w:rPr>
          <w:rFonts w:ascii="Cambria" w:hAnsi="Cambria"/>
        </w:rPr>
        <w:t xml:space="preserve"> Garantizar armonía con políticas públicas, fortalecer confianza mutua, mejorar clima de inversión y contribuir al desarrollo sostenible.</w:t>
      </w:r>
    </w:p>
    <w:p w14:paraId="49F7FD3E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4.2. Implementación</w:t>
      </w:r>
    </w:p>
    <w:p w14:paraId="49BB1AB3" w14:textId="77777777" w:rsidR="00980B4A" w:rsidRPr="00AA418C" w:rsidRDefault="00980B4A" w:rsidP="005A6D0A">
      <w:pPr>
        <w:numPr>
          <w:ilvl w:val="0"/>
          <w:numId w:val="31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Puntos Nacionales de Contacto (PNC):</w:t>
      </w:r>
      <w:r w:rsidRPr="00AA418C">
        <w:rPr>
          <w:rFonts w:ascii="Cambria" w:hAnsi="Cambria"/>
        </w:rPr>
        <w:t xml:space="preserve"> Organismos obligatorios constituidos por los gobiernos para promover las Directrices y actuar como plataforma de mediación/conciliación.</w:t>
      </w:r>
    </w:p>
    <w:p w14:paraId="29FC2370" w14:textId="67CE9A4D" w:rsidR="00980B4A" w:rsidRPr="00AA418C" w:rsidRDefault="00980B4A" w:rsidP="005A6D0A">
      <w:pPr>
        <w:numPr>
          <w:ilvl w:val="1"/>
          <w:numId w:val="31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En España: Órgano colegiado interministerial adscrito al MECE (</w:t>
      </w:r>
      <w:r w:rsidR="00906295" w:rsidRPr="00AA418C">
        <w:rPr>
          <w:rFonts w:ascii="Cambria" w:hAnsi="Cambria"/>
        </w:rPr>
        <w:t>SEC</w:t>
      </w:r>
      <w:r w:rsidRPr="00AA418C">
        <w:rPr>
          <w:rFonts w:ascii="Cambria" w:hAnsi="Cambria"/>
        </w:rPr>
        <w:t>).</w:t>
      </w:r>
    </w:p>
    <w:p w14:paraId="48E8546E" w14:textId="23775D3A" w:rsidR="00980B4A" w:rsidRPr="00AA418C" w:rsidRDefault="00980B4A" w:rsidP="005A6D0A">
      <w:pPr>
        <w:numPr>
          <w:ilvl w:val="0"/>
          <w:numId w:val="31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Actualizaciones:</w:t>
      </w:r>
      <w:r w:rsidRPr="00AA418C">
        <w:rPr>
          <w:rFonts w:ascii="Cambria" w:hAnsi="Cambria"/>
        </w:rPr>
        <w:t xml:space="preserve"> Revisión importante en 2011 y última actualización el</w:t>
      </w:r>
      <w:r w:rsidRPr="00AA418C">
        <w:rPr>
          <w:rFonts w:ascii="Cambria" w:hAnsi="Cambria"/>
          <w:b/>
          <w:bCs/>
        </w:rPr>
        <w:t xml:space="preserve"> </w:t>
      </w:r>
      <w:r w:rsidRPr="00AA418C">
        <w:rPr>
          <w:rFonts w:ascii="Cambria" w:hAnsi="Cambria"/>
        </w:rPr>
        <w:t>junio de 2023.</w:t>
      </w:r>
    </w:p>
    <w:p w14:paraId="13FBEA83" w14:textId="77777777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4.3. Actualización de 2023</w:t>
      </w:r>
    </w:p>
    <w:p w14:paraId="4260624E" w14:textId="77777777" w:rsidR="00980B4A" w:rsidRPr="00AA418C" w:rsidRDefault="00980B4A" w:rsidP="005A6D0A">
      <w:pPr>
        <w:numPr>
          <w:ilvl w:val="0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Dirigidas por 51 países (38 miembros OCDE + 13 adherentes).</w:t>
      </w:r>
    </w:p>
    <w:p w14:paraId="06A82574" w14:textId="77777777" w:rsidR="00980B4A" w:rsidRPr="00AA418C" w:rsidRDefault="00980B4A" w:rsidP="005A6D0A">
      <w:pPr>
        <w:numPr>
          <w:ilvl w:val="0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Novedades clave:</w:t>
      </w:r>
    </w:p>
    <w:p w14:paraId="7BB181D1" w14:textId="77777777" w:rsidR="00980B4A" w:rsidRPr="00AA418C" w:rsidRDefault="00980B4A" w:rsidP="005A6D0A">
      <w:pPr>
        <w:numPr>
          <w:ilvl w:val="1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Alineación con objetivos internacionales sobre cambio climático y biodiversidad.</w:t>
      </w:r>
    </w:p>
    <w:p w14:paraId="63CE3558" w14:textId="77777777" w:rsidR="00980B4A" w:rsidRPr="00AA418C" w:rsidRDefault="00980B4A" w:rsidP="005A6D0A">
      <w:pPr>
        <w:numPr>
          <w:ilvl w:val="1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lastRenderedPageBreak/>
        <w:t>Expectativas de diligencia debida en tecnología (datos), uso de productos/servicios y todas las formas de corrupción.</w:t>
      </w:r>
    </w:p>
    <w:p w14:paraId="78E16C13" w14:textId="77777777" w:rsidR="00980B4A" w:rsidRPr="00AA418C" w:rsidRDefault="00980B4A" w:rsidP="005A6D0A">
      <w:pPr>
        <w:numPr>
          <w:ilvl w:val="1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Protección para personas en riesgo (denunciantes) y divulgación de información sobre CER.</w:t>
      </w:r>
    </w:p>
    <w:p w14:paraId="7AFBFF72" w14:textId="77777777" w:rsidR="00980B4A" w:rsidRPr="00AA418C" w:rsidRDefault="00980B4A" w:rsidP="005A6D0A">
      <w:pPr>
        <w:numPr>
          <w:ilvl w:val="1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Coherencia de actividades de lobby con las Directrices.</w:t>
      </w:r>
    </w:p>
    <w:p w14:paraId="3083C402" w14:textId="71C86F16" w:rsidR="00980B4A" w:rsidRPr="00AA418C" w:rsidRDefault="00980B4A" w:rsidP="005A6D0A">
      <w:pPr>
        <w:numPr>
          <w:ilvl w:val="1"/>
          <w:numId w:val="32"/>
        </w:numPr>
        <w:jc w:val="both"/>
        <w:rPr>
          <w:rFonts w:ascii="Cambria" w:hAnsi="Cambria"/>
        </w:rPr>
      </w:pPr>
      <w:r w:rsidRPr="00AA418C">
        <w:rPr>
          <w:rFonts w:ascii="Cambria" w:hAnsi="Cambria"/>
        </w:rPr>
        <w:t>Fortalecimiento de los PNC</w:t>
      </w:r>
    </w:p>
    <w:p w14:paraId="4A03437D" w14:textId="7CCEBA8B" w:rsidR="00980B4A" w:rsidRPr="00AA418C" w:rsidRDefault="00980B4A" w:rsidP="005A6D0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AA418C">
        <w:rPr>
          <w:rFonts w:ascii="Cambria" w:hAnsi="Cambria"/>
          <w:b/>
          <w:bCs/>
          <w:color w:val="auto"/>
          <w:sz w:val="24"/>
          <w:szCs w:val="24"/>
        </w:rPr>
        <w:t>4.4. Contenido</w:t>
      </w:r>
    </w:p>
    <w:p w14:paraId="7A40E62D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Conceptos y Principios:</w:t>
      </w:r>
      <w:r w:rsidRPr="00AA418C">
        <w:rPr>
          <w:rFonts w:ascii="Cambria" w:hAnsi="Cambria"/>
        </w:rPr>
        <w:t xml:space="preserve"> Respeto a políticas nacionales y consideración de opiniones de partes interesadas.</w:t>
      </w:r>
    </w:p>
    <w:p w14:paraId="26CB4F66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Divulgación de información:</w:t>
      </w:r>
      <w:r w:rsidRPr="00AA418C">
        <w:rPr>
          <w:rFonts w:ascii="Cambria" w:hAnsi="Cambria"/>
        </w:rPr>
        <w:t xml:space="preserve"> Datos exactos sobre estructura, situación financiera y gobierno corporativo.</w:t>
      </w:r>
    </w:p>
    <w:p w14:paraId="60B1CA0E" w14:textId="4E073FA5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Derechos Humanos:</w:t>
      </w:r>
      <w:r w:rsidRPr="00AA418C">
        <w:rPr>
          <w:rFonts w:ascii="Cambria" w:hAnsi="Cambria"/>
        </w:rPr>
        <w:t xml:space="preserve"> Deber de proteger los DDHH</w:t>
      </w:r>
      <w:r w:rsidR="00815235" w:rsidRPr="00AA418C">
        <w:rPr>
          <w:rFonts w:ascii="Cambria" w:hAnsi="Cambria"/>
        </w:rPr>
        <w:t>.</w:t>
      </w:r>
    </w:p>
    <w:p w14:paraId="1FA1584D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Empleo y relaciones laborales:</w:t>
      </w:r>
      <w:r w:rsidRPr="00AA418C">
        <w:rPr>
          <w:rFonts w:ascii="Cambria" w:hAnsi="Cambria"/>
        </w:rPr>
        <w:t xml:space="preserve"> No discriminación, libertad sindical, eliminación de trabajo forzoso e infantil.</w:t>
      </w:r>
    </w:p>
    <w:p w14:paraId="0BC533F4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Medioambiente:</w:t>
      </w:r>
      <w:r w:rsidRPr="00AA418C">
        <w:rPr>
          <w:rFonts w:ascii="Cambria" w:hAnsi="Cambria"/>
        </w:rPr>
        <w:t xml:space="preserve"> Sistemas de gestión y objetivos de salud y seguridad.</w:t>
      </w:r>
    </w:p>
    <w:p w14:paraId="2766D10A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Lucha contra la corrupción:</w:t>
      </w:r>
      <w:r w:rsidRPr="00AA418C">
        <w:rPr>
          <w:rFonts w:ascii="Cambria" w:hAnsi="Cambria"/>
        </w:rPr>
        <w:t xml:space="preserve"> Rechazo a sobornos y extorsión.</w:t>
      </w:r>
    </w:p>
    <w:p w14:paraId="2E6E255B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Intereses de los Consumidores:</w:t>
      </w:r>
      <w:r w:rsidRPr="00AA418C">
        <w:rPr>
          <w:rFonts w:ascii="Cambria" w:hAnsi="Cambria"/>
        </w:rPr>
        <w:t xml:space="preserve"> Prácticas leales, calidad y fiabilidad de bienes/servicios.</w:t>
      </w:r>
    </w:p>
    <w:p w14:paraId="529BDACA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Ciencia y Tecnología:</w:t>
      </w:r>
      <w:r w:rsidRPr="00AA418C">
        <w:rPr>
          <w:rFonts w:ascii="Cambria" w:hAnsi="Cambria"/>
        </w:rPr>
        <w:t xml:space="preserve"> Transferencia tecnológica y respeto a la propiedad intelectual.</w:t>
      </w:r>
    </w:p>
    <w:p w14:paraId="40256334" w14:textId="77777777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Competencia:</w:t>
      </w:r>
      <w:r w:rsidRPr="00AA418C">
        <w:rPr>
          <w:rFonts w:ascii="Cambria" w:hAnsi="Cambria"/>
        </w:rPr>
        <w:t xml:space="preserve"> Respeto a leyes antimonopolio y competencia.</w:t>
      </w:r>
    </w:p>
    <w:p w14:paraId="755BAA56" w14:textId="477E243D" w:rsidR="00980B4A" w:rsidRPr="00AA418C" w:rsidRDefault="00980B4A" w:rsidP="005A6D0A">
      <w:pPr>
        <w:numPr>
          <w:ilvl w:val="0"/>
          <w:numId w:val="33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Cuestiones tributarias:</w:t>
      </w:r>
      <w:r w:rsidRPr="00AA418C">
        <w:rPr>
          <w:rFonts w:ascii="Cambria" w:hAnsi="Cambria"/>
        </w:rPr>
        <w:t xml:space="preserve"> Cumplimiento del espíritu y leyes fiscales locales.</w:t>
      </w:r>
    </w:p>
    <w:p w14:paraId="58A2AD63" w14:textId="77777777" w:rsidR="00980B4A" w:rsidRPr="00AA418C" w:rsidRDefault="00980B4A" w:rsidP="005A6D0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AA418C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73E28A73" w14:textId="77777777" w:rsidR="00980B4A" w:rsidRPr="00AA418C" w:rsidRDefault="00980B4A" w:rsidP="005A6D0A">
      <w:pPr>
        <w:numPr>
          <w:ilvl w:val="0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Producción intelectual:</w:t>
      </w:r>
      <w:r w:rsidRPr="00AA418C">
        <w:rPr>
          <w:rFonts w:ascii="Cambria" w:hAnsi="Cambria"/>
        </w:rPr>
        <w:t xml:space="preserve"> La OCDE es el mayor productor mundial de publicaciones en economía y asuntos sociales (más de 500 títulos/año).</w:t>
      </w:r>
    </w:p>
    <w:p w14:paraId="54E655A9" w14:textId="77777777" w:rsidR="00980B4A" w:rsidRPr="00AA418C" w:rsidRDefault="00980B4A" w:rsidP="005A6D0A">
      <w:pPr>
        <w:numPr>
          <w:ilvl w:val="0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Programas destacados:</w:t>
      </w:r>
    </w:p>
    <w:p w14:paraId="23712636" w14:textId="77777777" w:rsidR="00980B4A" w:rsidRPr="00AA418C" w:rsidRDefault="00980B4A" w:rsidP="005A6D0A">
      <w:pPr>
        <w:numPr>
          <w:ilvl w:val="1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Reforma Regulatoria:</w:t>
      </w:r>
      <w:r w:rsidRPr="00AA418C">
        <w:rPr>
          <w:rFonts w:ascii="Cambria" w:hAnsi="Cambria"/>
        </w:rPr>
        <w:t xml:space="preserve"> Mejora de calidad legislativa y competencia.</w:t>
      </w:r>
    </w:p>
    <w:p w14:paraId="46D3BC16" w14:textId="70384B0F" w:rsidR="00980B4A" w:rsidRPr="00AA418C" w:rsidRDefault="00980B4A" w:rsidP="005A6D0A">
      <w:pPr>
        <w:numPr>
          <w:ilvl w:val="1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Biotecnología:</w:t>
      </w:r>
      <w:r w:rsidRPr="00AA418C">
        <w:rPr>
          <w:rFonts w:ascii="Cambria" w:hAnsi="Cambria"/>
        </w:rPr>
        <w:t xml:space="preserve"> Armonización internacional </w:t>
      </w:r>
    </w:p>
    <w:p w14:paraId="43E362FF" w14:textId="77777777" w:rsidR="00980B4A" w:rsidRPr="00AA418C" w:rsidRDefault="00980B4A" w:rsidP="005A6D0A">
      <w:pPr>
        <w:numPr>
          <w:ilvl w:val="1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Educación:</w:t>
      </w:r>
      <w:r w:rsidRPr="00AA418C">
        <w:rPr>
          <w:rFonts w:ascii="Cambria" w:hAnsi="Cambria"/>
        </w:rPr>
        <w:t xml:space="preserve"> Informe PISA para evaluación de sistemas de enseñanza.</w:t>
      </w:r>
    </w:p>
    <w:p w14:paraId="0559A3A9" w14:textId="5270ABDD" w:rsidR="00980B4A" w:rsidRPr="00AA418C" w:rsidRDefault="00980B4A" w:rsidP="005A6D0A">
      <w:pPr>
        <w:numPr>
          <w:ilvl w:val="0"/>
          <w:numId w:val="34"/>
        </w:numPr>
        <w:jc w:val="both"/>
        <w:rPr>
          <w:rFonts w:ascii="Cambria" w:hAnsi="Cambria"/>
        </w:rPr>
      </w:pPr>
      <w:r w:rsidRPr="00AA418C">
        <w:rPr>
          <w:rFonts w:ascii="Cambria" w:hAnsi="Cambria"/>
          <w:b/>
          <w:bCs/>
        </w:rPr>
        <w:t>Fiscalidad Digital (BEPS):</w:t>
      </w:r>
      <w:r w:rsidRPr="00AA418C">
        <w:rPr>
          <w:rFonts w:ascii="Cambria" w:hAnsi="Cambria"/>
        </w:rPr>
        <w:t xml:space="preserve"> Negociación basada en dos pilares para gravar a multinacionales digitales en jurisdicciones donde operan sin presencia física.</w:t>
      </w:r>
    </w:p>
    <w:sectPr w:rsidR="00980B4A" w:rsidRPr="00AA418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871B1" w14:textId="77777777" w:rsidR="00087C3B" w:rsidRDefault="00087C3B" w:rsidP="00087C3B">
      <w:pPr>
        <w:spacing w:after="0" w:line="240" w:lineRule="auto"/>
      </w:pPr>
      <w:r>
        <w:separator/>
      </w:r>
    </w:p>
  </w:endnote>
  <w:endnote w:type="continuationSeparator" w:id="0">
    <w:p w14:paraId="2394930A" w14:textId="77777777" w:rsidR="00087C3B" w:rsidRDefault="00087C3B" w:rsidP="0008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FD3D" w14:textId="77777777" w:rsidR="00087C3B" w:rsidRDefault="00087C3B" w:rsidP="00087C3B">
      <w:pPr>
        <w:spacing w:after="0" w:line="240" w:lineRule="auto"/>
      </w:pPr>
      <w:r>
        <w:separator/>
      </w:r>
    </w:p>
  </w:footnote>
  <w:footnote w:type="continuationSeparator" w:id="0">
    <w:p w14:paraId="6FC96A65" w14:textId="77777777" w:rsidR="00087C3B" w:rsidRDefault="00087C3B" w:rsidP="00087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ECBB" w14:textId="030F2AE1" w:rsidR="00087C3B" w:rsidRPr="00087C3B" w:rsidRDefault="00087C3B" w:rsidP="00087C3B">
    <w:pPr>
      <w:pStyle w:val="Encabezado"/>
      <w:jc w:val="both"/>
      <w:rPr>
        <w:rFonts w:ascii="Palatino Linotype" w:hAnsi="Palatino Linotype"/>
        <w:i/>
        <w:iCs/>
      </w:rPr>
    </w:pPr>
    <w:r w:rsidRPr="00087C3B">
      <w:rPr>
        <w:rFonts w:ascii="Palatino Linotype" w:hAnsi="Palatino Linotype"/>
        <w:b/>
        <w:bCs/>
        <w:i/>
        <w:iCs/>
      </w:rPr>
      <w:t>TEMA 37 -</w:t>
    </w:r>
    <w:r w:rsidRPr="00087C3B">
      <w:rPr>
        <w:rFonts w:ascii="Palatino Linotype" w:hAnsi="Palatino Linotype"/>
        <w:i/>
        <w:iCs/>
      </w:rPr>
      <w:t xml:space="preserve"> La OCDE: Objetivo, estructura y funciones. Principales ámbitos de actividad. Líneas Directrices de la OCDE para multinacionales.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EF8"/>
    <w:multiLevelType w:val="multilevel"/>
    <w:tmpl w:val="3A9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EA2"/>
    <w:multiLevelType w:val="multilevel"/>
    <w:tmpl w:val="F60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3464"/>
    <w:multiLevelType w:val="multilevel"/>
    <w:tmpl w:val="428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E19DA"/>
    <w:multiLevelType w:val="multilevel"/>
    <w:tmpl w:val="09A2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6A1F"/>
    <w:multiLevelType w:val="multilevel"/>
    <w:tmpl w:val="C9F2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40ED4"/>
    <w:multiLevelType w:val="multilevel"/>
    <w:tmpl w:val="290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C2EE3"/>
    <w:multiLevelType w:val="multilevel"/>
    <w:tmpl w:val="CFB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D1461"/>
    <w:multiLevelType w:val="multilevel"/>
    <w:tmpl w:val="E2E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209A"/>
    <w:multiLevelType w:val="multilevel"/>
    <w:tmpl w:val="CCA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E19EA"/>
    <w:multiLevelType w:val="multilevel"/>
    <w:tmpl w:val="DC2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1140F"/>
    <w:multiLevelType w:val="multilevel"/>
    <w:tmpl w:val="61C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C7B7C"/>
    <w:multiLevelType w:val="multilevel"/>
    <w:tmpl w:val="3B6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65422"/>
    <w:multiLevelType w:val="multilevel"/>
    <w:tmpl w:val="B11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4FDE"/>
    <w:multiLevelType w:val="multilevel"/>
    <w:tmpl w:val="660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10893"/>
    <w:multiLevelType w:val="multilevel"/>
    <w:tmpl w:val="54B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D6C02"/>
    <w:multiLevelType w:val="multilevel"/>
    <w:tmpl w:val="A51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C014E"/>
    <w:multiLevelType w:val="multilevel"/>
    <w:tmpl w:val="80B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E19D7"/>
    <w:multiLevelType w:val="multilevel"/>
    <w:tmpl w:val="E4D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11AE3"/>
    <w:multiLevelType w:val="multilevel"/>
    <w:tmpl w:val="699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87683"/>
    <w:multiLevelType w:val="multilevel"/>
    <w:tmpl w:val="C8F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13993"/>
    <w:multiLevelType w:val="multilevel"/>
    <w:tmpl w:val="0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42B31"/>
    <w:multiLevelType w:val="multilevel"/>
    <w:tmpl w:val="4C9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A2C42"/>
    <w:multiLevelType w:val="multilevel"/>
    <w:tmpl w:val="11B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207CE"/>
    <w:multiLevelType w:val="hybridMultilevel"/>
    <w:tmpl w:val="1C3C8D2A"/>
    <w:lvl w:ilvl="0" w:tplc="0C42C1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69E7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F0B3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A221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ACB7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D455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C461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56BA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3437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11EE5"/>
    <w:multiLevelType w:val="multilevel"/>
    <w:tmpl w:val="E19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D370B"/>
    <w:multiLevelType w:val="multilevel"/>
    <w:tmpl w:val="DFD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22FC5"/>
    <w:multiLevelType w:val="multilevel"/>
    <w:tmpl w:val="C34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00878"/>
    <w:multiLevelType w:val="multilevel"/>
    <w:tmpl w:val="18BA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9013C"/>
    <w:multiLevelType w:val="multilevel"/>
    <w:tmpl w:val="F6D0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623A9"/>
    <w:multiLevelType w:val="multilevel"/>
    <w:tmpl w:val="98B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C3B15"/>
    <w:multiLevelType w:val="multilevel"/>
    <w:tmpl w:val="B23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202E0"/>
    <w:multiLevelType w:val="multilevel"/>
    <w:tmpl w:val="E3C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A7D32"/>
    <w:multiLevelType w:val="multilevel"/>
    <w:tmpl w:val="6E1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C1700"/>
    <w:multiLevelType w:val="multilevel"/>
    <w:tmpl w:val="35F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763725">
    <w:abstractNumId w:val="24"/>
  </w:num>
  <w:num w:numId="2" w16cid:durableId="1265916257">
    <w:abstractNumId w:val="2"/>
  </w:num>
  <w:num w:numId="3" w16cid:durableId="483275294">
    <w:abstractNumId w:val="7"/>
  </w:num>
  <w:num w:numId="4" w16cid:durableId="653342102">
    <w:abstractNumId w:val="26"/>
  </w:num>
  <w:num w:numId="5" w16cid:durableId="195508828">
    <w:abstractNumId w:val="3"/>
  </w:num>
  <w:num w:numId="6" w16cid:durableId="94593505">
    <w:abstractNumId w:val="9"/>
  </w:num>
  <w:num w:numId="7" w16cid:durableId="1262880413">
    <w:abstractNumId w:val="12"/>
  </w:num>
  <w:num w:numId="8" w16cid:durableId="61603993">
    <w:abstractNumId w:val="29"/>
  </w:num>
  <w:num w:numId="9" w16cid:durableId="811797315">
    <w:abstractNumId w:val="6"/>
  </w:num>
  <w:num w:numId="10" w16cid:durableId="207882330">
    <w:abstractNumId w:val="19"/>
  </w:num>
  <w:num w:numId="11" w16cid:durableId="636183529">
    <w:abstractNumId w:val="5"/>
  </w:num>
  <w:num w:numId="12" w16cid:durableId="309942574">
    <w:abstractNumId w:val="14"/>
  </w:num>
  <w:num w:numId="13" w16cid:durableId="1867938126">
    <w:abstractNumId w:val="0"/>
  </w:num>
  <w:num w:numId="14" w16cid:durableId="771629453">
    <w:abstractNumId w:val="23"/>
  </w:num>
  <w:num w:numId="15" w16cid:durableId="658193038">
    <w:abstractNumId w:val="22"/>
  </w:num>
  <w:num w:numId="16" w16cid:durableId="890387940">
    <w:abstractNumId w:val="25"/>
  </w:num>
  <w:num w:numId="17" w16cid:durableId="74792034">
    <w:abstractNumId w:val="8"/>
  </w:num>
  <w:num w:numId="18" w16cid:durableId="1445079972">
    <w:abstractNumId w:val="15"/>
  </w:num>
  <w:num w:numId="19" w16cid:durableId="15888304">
    <w:abstractNumId w:val="32"/>
  </w:num>
  <w:num w:numId="20" w16cid:durableId="1866364737">
    <w:abstractNumId w:val="28"/>
  </w:num>
  <w:num w:numId="21" w16cid:durableId="662860031">
    <w:abstractNumId w:val="20"/>
  </w:num>
  <w:num w:numId="22" w16cid:durableId="1201436562">
    <w:abstractNumId w:val="16"/>
  </w:num>
  <w:num w:numId="23" w16cid:durableId="1464812322">
    <w:abstractNumId w:val="31"/>
  </w:num>
  <w:num w:numId="24" w16cid:durableId="1746682720">
    <w:abstractNumId w:val="11"/>
  </w:num>
  <w:num w:numId="25" w16cid:durableId="1581669129">
    <w:abstractNumId w:val="1"/>
  </w:num>
  <w:num w:numId="26" w16cid:durableId="1738430055">
    <w:abstractNumId w:val="18"/>
  </w:num>
  <w:num w:numId="27" w16cid:durableId="407770906">
    <w:abstractNumId w:val="30"/>
  </w:num>
  <w:num w:numId="28" w16cid:durableId="1298338479">
    <w:abstractNumId w:val="33"/>
  </w:num>
  <w:num w:numId="29" w16cid:durableId="1203907704">
    <w:abstractNumId w:val="27"/>
  </w:num>
  <w:num w:numId="30" w16cid:durableId="2044592350">
    <w:abstractNumId w:val="13"/>
  </w:num>
  <w:num w:numId="31" w16cid:durableId="434247718">
    <w:abstractNumId w:val="21"/>
  </w:num>
  <w:num w:numId="32" w16cid:durableId="1859005823">
    <w:abstractNumId w:val="10"/>
  </w:num>
  <w:num w:numId="33" w16cid:durableId="1225872627">
    <w:abstractNumId w:val="4"/>
  </w:num>
  <w:num w:numId="34" w16cid:durableId="7411755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3B"/>
    <w:rsid w:val="00087C3B"/>
    <w:rsid w:val="00106D8F"/>
    <w:rsid w:val="001B78A9"/>
    <w:rsid w:val="002C2B99"/>
    <w:rsid w:val="00300971"/>
    <w:rsid w:val="00566230"/>
    <w:rsid w:val="005803BC"/>
    <w:rsid w:val="005A6D0A"/>
    <w:rsid w:val="00815235"/>
    <w:rsid w:val="00840D12"/>
    <w:rsid w:val="00905BF1"/>
    <w:rsid w:val="00906295"/>
    <w:rsid w:val="00980B4A"/>
    <w:rsid w:val="00A65383"/>
    <w:rsid w:val="00A8675C"/>
    <w:rsid w:val="00AA418C"/>
    <w:rsid w:val="00BA475B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F434"/>
  <w15:chartTrackingRefBased/>
  <w15:docId w15:val="{BEE4A7A6-F3CF-4C69-BD09-E7BEEF7E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7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87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7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7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C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C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C3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87C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C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C3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7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C3B"/>
  </w:style>
  <w:style w:type="paragraph" w:styleId="Piedepgina">
    <w:name w:val="footer"/>
    <w:basedOn w:val="Normal"/>
    <w:link w:val="PiedepginaCar"/>
    <w:uiPriority w:val="99"/>
    <w:unhideWhenUsed/>
    <w:rsid w:val="00087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1414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10</cp:revision>
  <dcterms:created xsi:type="dcterms:W3CDTF">2025-11-24T11:59:00Z</dcterms:created>
  <dcterms:modified xsi:type="dcterms:W3CDTF">2026-01-14T14:30:00Z</dcterms:modified>
</cp:coreProperties>
</file>