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54F85" w14:textId="77777777" w:rsidR="00A22E47" w:rsidRPr="0087538C" w:rsidRDefault="00A22E47" w:rsidP="0087538C">
      <w:pPr>
        <w:pStyle w:val="Ttulo1"/>
        <w:jc w:val="both"/>
        <w:rPr>
          <w:rFonts w:ascii="Cambria" w:hAnsi="Cambria"/>
          <w:b/>
          <w:bCs/>
          <w:color w:val="auto"/>
          <w:sz w:val="28"/>
          <w:szCs w:val="28"/>
        </w:rPr>
      </w:pPr>
      <w:r w:rsidRPr="0087538C">
        <w:rPr>
          <w:rFonts w:ascii="Cambria" w:hAnsi="Cambria"/>
          <w:b/>
          <w:bCs/>
          <w:color w:val="auto"/>
          <w:sz w:val="28"/>
          <w:szCs w:val="28"/>
        </w:rPr>
        <w:t>1. Evolución del Sistema de Comercio Multilateral</w:t>
      </w:r>
    </w:p>
    <w:p w14:paraId="566887BE" w14:textId="77777777" w:rsidR="00A22E47" w:rsidRPr="0087538C" w:rsidRDefault="00A22E47" w:rsidP="0087538C">
      <w:pPr>
        <w:numPr>
          <w:ilvl w:val="0"/>
          <w:numId w:val="1"/>
        </w:numPr>
        <w:jc w:val="both"/>
        <w:rPr>
          <w:rFonts w:ascii="Cambria" w:hAnsi="Cambria"/>
        </w:rPr>
      </w:pPr>
      <w:r w:rsidRPr="0087538C">
        <w:rPr>
          <w:rFonts w:ascii="Cambria" w:hAnsi="Cambria"/>
          <w:b/>
          <w:bCs/>
        </w:rPr>
        <w:t>Origen:</w:t>
      </w:r>
      <w:r w:rsidRPr="0087538C">
        <w:rPr>
          <w:rFonts w:ascii="Cambria" w:hAnsi="Cambria"/>
        </w:rPr>
        <w:t xml:space="preserve"> Tras la II Guerra Mundial, se buscó un orden económico liberal para evitar el proteccionismo.</w:t>
      </w:r>
    </w:p>
    <w:p w14:paraId="032C698E" w14:textId="77777777" w:rsidR="00A22E47" w:rsidRPr="0087538C" w:rsidRDefault="00A22E47" w:rsidP="0087538C">
      <w:pPr>
        <w:numPr>
          <w:ilvl w:val="0"/>
          <w:numId w:val="1"/>
        </w:numPr>
        <w:jc w:val="both"/>
        <w:rPr>
          <w:rFonts w:ascii="Cambria" w:hAnsi="Cambria"/>
        </w:rPr>
      </w:pPr>
      <w:r w:rsidRPr="0087538C">
        <w:rPr>
          <w:rFonts w:ascii="Cambria" w:hAnsi="Cambria"/>
          <w:b/>
          <w:bCs/>
        </w:rPr>
        <w:t>Instituciones de Bretton Woods (1944):</w:t>
      </w:r>
      <w:r w:rsidRPr="0087538C">
        <w:rPr>
          <w:rFonts w:ascii="Cambria" w:hAnsi="Cambria"/>
        </w:rPr>
        <w:t xml:space="preserve"> Creación del FMI y el Banco Mundial. Se propuso la Organización Internacional de Comercio (OIC).</w:t>
      </w:r>
    </w:p>
    <w:p w14:paraId="59DA24C8" w14:textId="77777777" w:rsidR="00A22E47" w:rsidRPr="0087538C" w:rsidRDefault="00A22E47" w:rsidP="0087538C">
      <w:pPr>
        <w:numPr>
          <w:ilvl w:val="0"/>
          <w:numId w:val="1"/>
        </w:numPr>
        <w:jc w:val="both"/>
        <w:rPr>
          <w:rFonts w:ascii="Cambria" w:hAnsi="Cambria"/>
        </w:rPr>
      </w:pPr>
      <w:r w:rsidRPr="0087538C">
        <w:rPr>
          <w:rFonts w:ascii="Cambria" w:hAnsi="Cambria"/>
          <w:b/>
          <w:bCs/>
        </w:rPr>
        <w:t>Fracaso de la OIC:</w:t>
      </w:r>
      <w:r w:rsidRPr="0087538C">
        <w:rPr>
          <w:rFonts w:ascii="Cambria" w:hAnsi="Cambria"/>
        </w:rPr>
        <w:t xml:space="preserve"> La Carta de La Habana (1948) no fue ratificada por el Congreso de EE. UU.</w:t>
      </w:r>
    </w:p>
    <w:p w14:paraId="20C1EF57" w14:textId="77777777" w:rsidR="00A22E47" w:rsidRPr="0087538C" w:rsidRDefault="00A22E47" w:rsidP="0087538C">
      <w:pPr>
        <w:numPr>
          <w:ilvl w:val="0"/>
          <w:numId w:val="1"/>
        </w:numPr>
        <w:jc w:val="both"/>
        <w:rPr>
          <w:rFonts w:ascii="Cambria" w:hAnsi="Cambria"/>
        </w:rPr>
      </w:pPr>
      <w:r w:rsidRPr="0087538C">
        <w:rPr>
          <w:rFonts w:ascii="Cambria" w:hAnsi="Cambria"/>
          <w:b/>
          <w:bCs/>
        </w:rPr>
        <w:t>Nacimiento del GATT (1947):</w:t>
      </w:r>
      <w:r w:rsidRPr="0087538C">
        <w:rPr>
          <w:rFonts w:ascii="Cambria" w:hAnsi="Cambria"/>
        </w:rPr>
        <w:t xml:space="preserve"> Acuerdo General sobre Aranceles Aduaneros y Comercio. Entró en vigor en 1948 con 23 partes contratantes.</w:t>
      </w:r>
    </w:p>
    <w:p w14:paraId="4B07AF8D" w14:textId="77777777" w:rsidR="00A22E47" w:rsidRPr="0087538C" w:rsidRDefault="00A22E47" w:rsidP="0087538C">
      <w:pPr>
        <w:numPr>
          <w:ilvl w:val="1"/>
          <w:numId w:val="1"/>
        </w:numPr>
        <w:jc w:val="both"/>
        <w:rPr>
          <w:rFonts w:ascii="Cambria" w:hAnsi="Cambria"/>
        </w:rPr>
      </w:pPr>
      <w:r w:rsidRPr="0087538C">
        <w:rPr>
          <w:rFonts w:ascii="Cambria" w:hAnsi="Cambria"/>
          <w:u w:val="single"/>
        </w:rPr>
        <w:t>Carácter:</w:t>
      </w:r>
      <w:r w:rsidRPr="0087538C">
        <w:rPr>
          <w:rFonts w:ascii="Cambria" w:hAnsi="Cambria"/>
        </w:rPr>
        <w:t xml:space="preserve"> Acuerdo provisional (no organización) hasta 1995.</w:t>
      </w:r>
    </w:p>
    <w:p w14:paraId="00E690FD" w14:textId="77777777" w:rsidR="00A22E47" w:rsidRPr="0087538C" w:rsidRDefault="00A22E47" w:rsidP="0087538C">
      <w:pPr>
        <w:numPr>
          <w:ilvl w:val="1"/>
          <w:numId w:val="1"/>
        </w:numPr>
        <w:jc w:val="both"/>
        <w:rPr>
          <w:rFonts w:ascii="Cambria" w:hAnsi="Cambria"/>
        </w:rPr>
      </w:pPr>
      <w:r w:rsidRPr="0087538C">
        <w:rPr>
          <w:rFonts w:ascii="Cambria" w:hAnsi="Cambria"/>
          <w:u w:val="single"/>
        </w:rPr>
        <w:t>Objetivo:</w:t>
      </w:r>
      <w:r w:rsidRPr="0087538C">
        <w:rPr>
          <w:rFonts w:ascii="Cambria" w:hAnsi="Cambria"/>
        </w:rPr>
        <w:t xml:space="preserve"> Reducción y consolidación de aranceles y liberalización comercial.</w:t>
      </w:r>
    </w:p>
    <w:p w14:paraId="2854E871" w14:textId="77777777" w:rsidR="00A22E47" w:rsidRPr="0087538C" w:rsidRDefault="00A22E47" w:rsidP="0087538C">
      <w:pPr>
        <w:numPr>
          <w:ilvl w:val="0"/>
          <w:numId w:val="1"/>
        </w:numPr>
        <w:jc w:val="both"/>
        <w:rPr>
          <w:rFonts w:ascii="Cambria" w:hAnsi="Cambria"/>
        </w:rPr>
      </w:pPr>
      <w:r w:rsidRPr="0087538C">
        <w:rPr>
          <w:rFonts w:ascii="Cambria" w:hAnsi="Cambria"/>
          <w:b/>
          <w:bCs/>
        </w:rPr>
        <w:t>Creación de la OMC (1995):</w:t>
      </w:r>
      <w:r w:rsidRPr="0087538C">
        <w:rPr>
          <w:rFonts w:ascii="Cambria" w:hAnsi="Cambria"/>
        </w:rPr>
        <w:t xml:space="preserve"> Organismo permanente que incorporó el GATT actualizado.</w:t>
      </w:r>
    </w:p>
    <w:p w14:paraId="5C66092C" w14:textId="77777777" w:rsidR="00A22E47" w:rsidRPr="0087538C" w:rsidRDefault="00A22E47" w:rsidP="0087538C">
      <w:pPr>
        <w:numPr>
          <w:ilvl w:val="1"/>
          <w:numId w:val="1"/>
        </w:numPr>
        <w:jc w:val="both"/>
        <w:rPr>
          <w:rFonts w:ascii="Cambria" w:hAnsi="Cambria"/>
        </w:rPr>
      </w:pPr>
      <w:r w:rsidRPr="0087538C">
        <w:rPr>
          <w:rFonts w:ascii="Cambria" w:hAnsi="Cambria"/>
          <w:b/>
          <w:bCs/>
        </w:rPr>
        <w:t>Diferencias GATT vs. OMC:</w:t>
      </w:r>
    </w:p>
    <w:p w14:paraId="517AC552" w14:textId="77777777" w:rsidR="00A22E47" w:rsidRPr="0087538C" w:rsidRDefault="00A22E47" w:rsidP="0087538C">
      <w:pPr>
        <w:numPr>
          <w:ilvl w:val="2"/>
          <w:numId w:val="1"/>
        </w:numPr>
        <w:jc w:val="both"/>
        <w:rPr>
          <w:rFonts w:ascii="Cambria" w:hAnsi="Cambria"/>
        </w:rPr>
      </w:pPr>
      <w:r w:rsidRPr="0087538C">
        <w:rPr>
          <w:rFonts w:ascii="Cambria" w:hAnsi="Cambria"/>
        </w:rPr>
        <w:t>El GATT era un acuerdo de reglas sin base institucional estricta; la OMC es una organización internacional.</w:t>
      </w:r>
    </w:p>
    <w:p w14:paraId="6DF0C556" w14:textId="67289EB3" w:rsidR="00A22E47" w:rsidRPr="0087538C" w:rsidRDefault="00A22E47" w:rsidP="0087538C">
      <w:pPr>
        <w:numPr>
          <w:ilvl w:val="2"/>
          <w:numId w:val="1"/>
        </w:numPr>
        <w:jc w:val="both"/>
        <w:rPr>
          <w:rFonts w:ascii="Cambria" w:hAnsi="Cambria"/>
        </w:rPr>
      </w:pPr>
      <w:r w:rsidRPr="0087538C">
        <w:rPr>
          <w:rFonts w:ascii="Cambria" w:hAnsi="Cambria"/>
        </w:rPr>
        <w:t>La OMC tiene mayor número de miembros (166 actualmente) y un ámbito más amplio</w:t>
      </w:r>
      <w:r w:rsidR="002C769B" w:rsidRPr="0087538C">
        <w:rPr>
          <w:rFonts w:ascii="Cambria" w:hAnsi="Cambria"/>
        </w:rPr>
        <w:t>.</w:t>
      </w:r>
    </w:p>
    <w:p w14:paraId="48CF5952" w14:textId="77777777" w:rsidR="00A22E47" w:rsidRPr="0087538C" w:rsidRDefault="00A22E47" w:rsidP="0087538C">
      <w:pPr>
        <w:pStyle w:val="Ttulo1"/>
        <w:jc w:val="both"/>
        <w:rPr>
          <w:rFonts w:ascii="Cambria" w:hAnsi="Cambria"/>
          <w:b/>
          <w:bCs/>
          <w:color w:val="auto"/>
          <w:sz w:val="28"/>
          <w:szCs w:val="28"/>
        </w:rPr>
      </w:pPr>
      <w:r w:rsidRPr="0087538C">
        <w:rPr>
          <w:rFonts w:ascii="Cambria" w:hAnsi="Cambria"/>
          <w:b/>
          <w:bCs/>
          <w:color w:val="auto"/>
          <w:sz w:val="28"/>
          <w:szCs w:val="28"/>
        </w:rPr>
        <w:t>2. El GATT: Principios y Reglas</w:t>
      </w:r>
    </w:p>
    <w:p w14:paraId="55A279FA" w14:textId="77777777" w:rsidR="00A22E47" w:rsidRPr="0087538C" w:rsidRDefault="00A22E47" w:rsidP="0087538C">
      <w:pPr>
        <w:jc w:val="both"/>
        <w:rPr>
          <w:rFonts w:ascii="Cambria" w:hAnsi="Cambria"/>
        </w:rPr>
      </w:pPr>
      <w:r w:rsidRPr="0087538C">
        <w:rPr>
          <w:rFonts w:ascii="Cambria" w:hAnsi="Cambria"/>
        </w:rPr>
        <w:t xml:space="preserve">El sistema GATT se basaba en el articulado de 1947, códigos adicionales y acuerdos sectoriales. Se caracterizaba por su </w:t>
      </w:r>
      <w:r w:rsidRPr="0087538C">
        <w:rPr>
          <w:rFonts w:ascii="Cambria" w:hAnsi="Cambria"/>
          <w:u w:val="single"/>
        </w:rPr>
        <w:t>provisionalidad, flexibilidad y pragmatismo.</w:t>
      </w:r>
    </w:p>
    <w:p w14:paraId="552E47D5" w14:textId="738F2575" w:rsidR="00A22E47" w:rsidRPr="0087538C" w:rsidRDefault="00A22E47" w:rsidP="0087538C">
      <w:pPr>
        <w:pStyle w:val="Ttulo2"/>
        <w:jc w:val="both"/>
        <w:rPr>
          <w:rFonts w:ascii="Cambria" w:hAnsi="Cambria"/>
          <w:b/>
          <w:bCs/>
          <w:color w:val="auto"/>
          <w:sz w:val="24"/>
          <w:szCs w:val="24"/>
        </w:rPr>
      </w:pPr>
      <w:r w:rsidRPr="0087538C">
        <w:rPr>
          <w:rFonts w:ascii="Cambria" w:hAnsi="Cambria"/>
          <w:b/>
          <w:bCs/>
          <w:color w:val="auto"/>
          <w:sz w:val="24"/>
          <w:szCs w:val="24"/>
        </w:rPr>
        <w:t xml:space="preserve">2.1. Estructura del GATT </w:t>
      </w:r>
    </w:p>
    <w:p w14:paraId="6B869250" w14:textId="77777777" w:rsidR="00A22E47" w:rsidRPr="0087538C" w:rsidRDefault="00A22E47" w:rsidP="0087538C">
      <w:pPr>
        <w:numPr>
          <w:ilvl w:val="0"/>
          <w:numId w:val="2"/>
        </w:numPr>
        <w:jc w:val="both"/>
        <w:rPr>
          <w:rFonts w:ascii="Cambria" w:hAnsi="Cambria"/>
        </w:rPr>
      </w:pPr>
      <w:r w:rsidRPr="0087538C">
        <w:rPr>
          <w:rFonts w:ascii="Cambria" w:hAnsi="Cambria"/>
          <w:b/>
          <w:bCs/>
        </w:rPr>
        <w:t>Asamblea de Partes Contratantes:</w:t>
      </w:r>
      <w:r w:rsidRPr="0087538C">
        <w:rPr>
          <w:rFonts w:ascii="Cambria" w:hAnsi="Cambria"/>
        </w:rPr>
        <w:t xml:space="preserve"> Máximo órgano decisorio (anual).</w:t>
      </w:r>
    </w:p>
    <w:p w14:paraId="24A80265" w14:textId="77777777" w:rsidR="00A22E47" w:rsidRPr="0087538C" w:rsidRDefault="00A22E47" w:rsidP="0087538C">
      <w:pPr>
        <w:numPr>
          <w:ilvl w:val="0"/>
          <w:numId w:val="2"/>
        </w:numPr>
        <w:jc w:val="both"/>
        <w:rPr>
          <w:rFonts w:ascii="Cambria" w:hAnsi="Cambria"/>
        </w:rPr>
      </w:pPr>
      <w:r w:rsidRPr="0087538C">
        <w:rPr>
          <w:rFonts w:ascii="Cambria" w:hAnsi="Cambria"/>
          <w:b/>
          <w:bCs/>
        </w:rPr>
        <w:t>Consejo de Representantes:</w:t>
      </w:r>
      <w:r w:rsidRPr="0087538C">
        <w:rPr>
          <w:rFonts w:ascii="Cambria" w:hAnsi="Cambria"/>
        </w:rPr>
        <w:t xml:space="preserve"> Órgano delegado permanente.</w:t>
      </w:r>
    </w:p>
    <w:p w14:paraId="5C70B5EE" w14:textId="77777777" w:rsidR="00A22E47" w:rsidRPr="0087538C" w:rsidRDefault="00A22E47" w:rsidP="0087538C">
      <w:pPr>
        <w:numPr>
          <w:ilvl w:val="0"/>
          <w:numId w:val="2"/>
        </w:numPr>
        <w:jc w:val="both"/>
        <w:rPr>
          <w:rFonts w:ascii="Cambria" w:hAnsi="Cambria"/>
        </w:rPr>
      </w:pPr>
      <w:r w:rsidRPr="0087538C">
        <w:rPr>
          <w:rFonts w:ascii="Cambria" w:hAnsi="Cambria"/>
          <w:b/>
          <w:bCs/>
        </w:rPr>
        <w:t>Órganos subordinados:</w:t>
      </w:r>
      <w:r w:rsidRPr="0087538C">
        <w:rPr>
          <w:rFonts w:ascii="Cambria" w:hAnsi="Cambria"/>
        </w:rPr>
        <w:t xml:space="preserve"> Comités, Grupos de Trabajo y Paneles de Expertos.</w:t>
      </w:r>
    </w:p>
    <w:p w14:paraId="6B00521C" w14:textId="77777777" w:rsidR="00A22E47" w:rsidRPr="0087538C" w:rsidRDefault="00A22E47" w:rsidP="0087538C">
      <w:pPr>
        <w:numPr>
          <w:ilvl w:val="0"/>
          <w:numId w:val="2"/>
        </w:numPr>
        <w:jc w:val="both"/>
        <w:rPr>
          <w:rFonts w:ascii="Cambria" w:hAnsi="Cambria"/>
        </w:rPr>
      </w:pPr>
      <w:r w:rsidRPr="0087538C">
        <w:rPr>
          <w:rFonts w:ascii="Cambria" w:hAnsi="Cambria"/>
          <w:b/>
          <w:bCs/>
        </w:rPr>
        <w:t>Secretaría General:</w:t>
      </w:r>
      <w:r w:rsidRPr="0087538C">
        <w:rPr>
          <w:rFonts w:ascii="Cambria" w:hAnsi="Cambria"/>
        </w:rPr>
        <w:t xml:space="preserve"> Funciones administrativas en Ginebra.</w:t>
      </w:r>
    </w:p>
    <w:p w14:paraId="065AF689" w14:textId="77777777" w:rsidR="00A22E47" w:rsidRPr="0087538C" w:rsidRDefault="00A22E47" w:rsidP="0087538C">
      <w:pPr>
        <w:pStyle w:val="Ttulo2"/>
        <w:jc w:val="both"/>
        <w:rPr>
          <w:rFonts w:ascii="Cambria" w:hAnsi="Cambria"/>
          <w:b/>
          <w:bCs/>
          <w:color w:val="auto"/>
          <w:sz w:val="24"/>
          <w:szCs w:val="24"/>
        </w:rPr>
      </w:pPr>
      <w:r w:rsidRPr="0087538C">
        <w:rPr>
          <w:rFonts w:ascii="Cambria" w:hAnsi="Cambria"/>
          <w:b/>
          <w:bCs/>
          <w:color w:val="auto"/>
          <w:sz w:val="24"/>
          <w:szCs w:val="24"/>
        </w:rPr>
        <w:t>2.2. Principios Básicos de Protección</w:t>
      </w:r>
    </w:p>
    <w:p w14:paraId="6AB08AB5" w14:textId="77777777" w:rsidR="00A22E47" w:rsidRPr="0087538C" w:rsidRDefault="00A22E47" w:rsidP="0087538C">
      <w:pPr>
        <w:numPr>
          <w:ilvl w:val="0"/>
          <w:numId w:val="3"/>
        </w:numPr>
        <w:jc w:val="both"/>
        <w:rPr>
          <w:rFonts w:ascii="Cambria" w:hAnsi="Cambria"/>
        </w:rPr>
      </w:pPr>
      <w:r w:rsidRPr="0087538C">
        <w:rPr>
          <w:rFonts w:ascii="Cambria" w:hAnsi="Cambria"/>
          <w:b/>
          <w:bCs/>
        </w:rPr>
        <w:t>Principio de No-Discriminación:</w:t>
      </w:r>
    </w:p>
    <w:p w14:paraId="11C630A7" w14:textId="77777777" w:rsidR="00A22E47" w:rsidRPr="0087538C" w:rsidRDefault="00A22E47" w:rsidP="0087538C">
      <w:pPr>
        <w:numPr>
          <w:ilvl w:val="1"/>
          <w:numId w:val="3"/>
        </w:numPr>
        <w:jc w:val="both"/>
        <w:rPr>
          <w:rFonts w:ascii="Cambria" w:hAnsi="Cambria"/>
        </w:rPr>
      </w:pPr>
      <w:r w:rsidRPr="0087538C">
        <w:rPr>
          <w:rFonts w:ascii="Cambria" w:hAnsi="Cambria"/>
          <w:u w:val="single"/>
        </w:rPr>
        <w:t>Cláusula de Nación Más Favorecida (CNMF):</w:t>
      </w:r>
      <w:r w:rsidRPr="0087538C">
        <w:rPr>
          <w:rFonts w:ascii="Cambria" w:hAnsi="Cambria"/>
        </w:rPr>
        <w:t xml:space="preserve"> Cualquier ventaja concedida a un país se extiende a todos.</w:t>
      </w:r>
    </w:p>
    <w:p w14:paraId="7B45238C" w14:textId="61C5A993" w:rsidR="00A22E47" w:rsidRPr="0087538C" w:rsidRDefault="00A22E47" w:rsidP="0087538C">
      <w:pPr>
        <w:numPr>
          <w:ilvl w:val="2"/>
          <w:numId w:val="3"/>
        </w:numPr>
        <w:jc w:val="both"/>
        <w:rPr>
          <w:rFonts w:ascii="Cambria" w:hAnsi="Cambria"/>
        </w:rPr>
      </w:pPr>
      <w:r w:rsidRPr="0087538C">
        <w:rPr>
          <w:rFonts w:ascii="Cambria" w:hAnsi="Cambria"/>
          <w:u w:val="single"/>
        </w:rPr>
        <w:lastRenderedPageBreak/>
        <w:t>Excepciones</w:t>
      </w:r>
      <w:r w:rsidRPr="0087538C">
        <w:rPr>
          <w:rFonts w:ascii="Cambria" w:hAnsi="Cambria"/>
          <w:i/>
          <w:iCs/>
        </w:rPr>
        <w:t>:</w:t>
      </w:r>
      <w:r w:rsidRPr="0087538C">
        <w:rPr>
          <w:rFonts w:ascii="Cambria" w:hAnsi="Cambria"/>
        </w:rPr>
        <w:t xml:space="preserve"> Preferencias históricas,</w:t>
      </w:r>
      <w:r w:rsidR="002C769B" w:rsidRPr="0087538C">
        <w:rPr>
          <w:rFonts w:ascii="Cambria" w:hAnsi="Cambria"/>
        </w:rPr>
        <w:t xml:space="preserve"> UA/ZLC</w:t>
      </w:r>
      <w:r w:rsidRPr="0087538C">
        <w:rPr>
          <w:rFonts w:ascii="Cambria" w:hAnsi="Cambria"/>
        </w:rPr>
        <w:t xml:space="preserve"> y SPG</w:t>
      </w:r>
    </w:p>
    <w:p w14:paraId="2671AA7F" w14:textId="77777777" w:rsidR="00A22E47" w:rsidRPr="0087538C" w:rsidRDefault="00A22E47" w:rsidP="0087538C">
      <w:pPr>
        <w:numPr>
          <w:ilvl w:val="1"/>
          <w:numId w:val="3"/>
        </w:numPr>
        <w:jc w:val="both"/>
        <w:rPr>
          <w:rFonts w:ascii="Cambria" w:hAnsi="Cambria"/>
        </w:rPr>
      </w:pPr>
      <w:r w:rsidRPr="0087538C">
        <w:rPr>
          <w:rFonts w:ascii="Cambria" w:hAnsi="Cambria"/>
          <w:u w:val="single"/>
        </w:rPr>
        <w:t>Trato Nacional:</w:t>
      </w:r>
      <w:r w:rsidRPr="0087538C">
        <w:rPr>
          <w:rFonts w:ascii="Cambria" w:hAnsi="Cambria"/>
        </w:rPr>
        <w:t xml:space="preserve"> Igualdad de trato entre productos nacionales y extranjeros una vez importados (no discriminación interna).</w:t>
      </w:r>
    </w:p>
    <w:p w14:paraId="71A68EB2" w14:textId="77777777" w:rsidR="00A22E47" w:rsidRPr="0087538C" w:rsidRDefault="00A22E47" w:rsidP="0087538C">
      <w:pPr>
        <w:numPr>
          <w:ilvl w:val="0"/>
          <w:numId w:val="3"/>
        </w:numPr>
        <w:jc w:val="both"/>
        <w:rPr>
          <w:rFonts w:ascii="Cambria" w:hAnsi="Cambria"/>
        </w:rPr>
      </w:pPr>
      <w:r w:rsidRPr="0087538C">
        <w:rPr>
          <w:rFonts w:ascii="Cambria" w:hAnsi="Cambria"/>
          <w:b/>
          <w:bCs/>
        </w:rPr>
        <w:t>Principio de Reciprocidad:</w:t>
      </w:r>
      <w:r w:rsidRPr="0087538C">
        <w:rPr>
          <w:rFonts w:ascii="Cambria" w:hAnsi="Cambria"/>
        </w:rPr>
        <w:t xml:space="preserve"> Las concesiones deben ser mutuas para facilitar acuerdos.</w:t>
      </w:r>
    </w:p>
    <w:p w14:paraId="1DBD2439" w14:textId="77777777" w:rsidR="00A22E47" w:rsidRPr="0087538C" w:rsidRDefault="00A22E47" w:rsidP="0087538C">
      <w:pPr>
        <w:numPr>
          <w:ilvl w:val="0"/>
          <w:numId w:val="3"/>
        </w:numPr>
        <w:jc w:val="both"/>
        <w:rPr>
          <w:rFonts w:ascii="Cambria" w:hAnsi="Cambria"/>
        </w:rPr>
      </w:pPr>
      <w:r w:rsidRPr="0087538C">
        <w:rPr>
          <w:rFonts w:ascii="Cambria" w:hAnsi="Cambria"/>
          <w:b/>
          <w:bCs/>
        </w:rPr>
        <w:t>Principio de Transparencia:</w:t>
      </w:r>
      <w:r w:rsidRPr="0087538C">
        <w:rPr>
          <w:rFonts w:ascii="Cambria" w:hAnsi="Cambria"/>
        </w:rPr>
        <w:t xml:space="preserve"> Prohibición de restricciones cuantitativas (cuotas), priorizando el uso de aranceles visibles.</w:t>
      </w:r>
    </w:p>
    <w:p w14:paraId="7C23655C" w14:textId="77777777" w:rsidR="00A22E47" w:rsidRPr="0087538C" w:rsidRDefault="00A22E47" w:rsidP="0087538C">
      <w:pPr>
        <w:numPr>
          <w:ilvl w:val="1"/>
          <w:numId w:val="3"/>
        </w:numPr>
        <w:jc w:val="both"/>
        <w:rPr>
          <w:rFonts w:ascii="Cambria" w:hAnsi="Cambria"/>
        </w:rPr>
      </w:pPr>
      <w:r w:rsidRPr="0087538C">
        <w:rPr>
          <w:rFonts w:ascii="Cambria" w:hAnsi="Cambria"/>
          <w:u w:val="single"/>
        </w:rPr>
        <w:t>Excepciones:</w:t>
      </w:r>
      <w:r w:rsidRPr="0087538C">
        <w:rPr>
          <w:rFonts w:ascii="Cambria" w:hAnsi="Cambria"/>
        </w:rPr>
        <w:t xml:space="preserve"> Balanza de pagos, mercados agrícolas, industria naciente, seguridad/salud.</w:t>
      </w:r>
    </w:p>
    <w:p w14:paraId="74F485A3" w14:textId="77777777" w:rsidR="00A22E47" w:rsidRPr="0087538C" w:rsidRDefault="00A22E47" w:rsidP="0087538C">
      <w:pPr>
        <w:pStyle w:val="Ttulo2"/>
        <w:jc w:val="both"/>
        <w:rPr>
          <w:rFonts w:ascii="Cambria" w:hAnsi="Cambria"/>
          <w:b/>
          <w:bCs/>
          <w:color w:val="auto"/>
          <w:sz w:val="24"/>
          <w:szCs w:val="24"/>
        </w:rPr>
      </w:pPr>
      <w:r w:rsidRPr="0087538C">
        <w:rPr>
          <w:rFonts w:ascii="Cambria" w:hAnsi="Cambria"/>
          <w:b/>
          <w:bCs/>
          <w:color w:val="auto"/>
          <w:sz w:val="24"/>
          <w:szCs w:val="24"/>
        </w:rPr>
        <w:t>2.3. Reglas sobre Importación</w:t>
      </w:r>
    </w:p>
    <w:p w14:paraId="63B7AAEF" w14:textId="1670AD62" w:rsidR="00A22E47" w:rsidRPr="0087538C" w:rsidRDefault="00A22E47" w:rsidP="0087538C">
      <w:pPr>
        <w:jc w:val="both"/>
        <w:rPr>
          <w:rFonts w:ascii="Cambria" w:hAnsi="Cambria"/>
        </w:rPr>
      </w:pPr>
      <w:r w:rsidRPr="0087538C">
        <w:rPr>
          <w:rFonts w:ascii="Cambria" w:hAnsi="Cambria"/>
        </w:rPr>
        <w:t>Buscan eliminar Barreras No Arancelaria</w:t>
      </w:r>
      <w:r w:rsidR="002C769B" w:rsidRPr="0087538C">
        <w:rPr>
          <w:rFonts w:ascii="Cambria" w:hAnsi="Cambria"/>
        </w:rPr>
        <w:t>s</w:t>
      </w:r>
      <w:r w:rsidRPr="0087538C">
        <w:rPr>
          <w:rFonts w:ascii="Cambria" w:hAnsi="Cambria"/>
        </w:rPr>
        <w:t>.</w:t>
      </w:r>
    </w:p>
    <w:p w14:paraId="1825823F" w14:textId="77777777" w:rsidR="00A22E47" w:rsidRPr="0087538C" w:rsidRDefault="00A22E47" w:rsidP="0087538C">
      <w:pPr>
        <w:numPr>
          <w:ilvl w:val="0"/>
          <w:numId w:val="4"/>
        </w:numPr>
        <w:jc w:val="both"/>
        <w:rPr>
          <w:rFonts w:ascii="Cambria" w:hAnsi="Cambria"/>
        </w:rPr>
      </w:pPr>
      <w:r w:rsidRPr="0087538C">
        <w:rPr>
          <w:rFonts w:ascii="Cambria" w:hAnsi="Cambria"/>
          <w:b/>
          <w:bCs/>
        </w:rPr>
        <w:t>Valoración en Aduana:</w:t>
      </w:r>
      <w:r w:rsidRPr="0087538C">
        <w:rPr>
          <w:rFonts w:ascii="Cambria" w:hAnsi="Cambria"/>
        </w:rPr>
        <w:t xml:space="preserve"> Sistema uniforme basado prioritariamente en el valor de transacción (factura CIF).</w:t>
      </w:r>
    </w:p>
    <w:p w14:paraId="7202622E" w14:textId="77777777" w:rsidR="00A22E47" w:rsidRPr="0087538C" w:rsidRDefault="00A22E47" w:rsidP="0087538C">
      <w:pPr>
        <w:numPr>
          <w:ilvl w:val="0"/>
          <w:numId w:val="4"/>
        </w:numPr>
        <w:jc w:val="both"/>
        <w:rPr>
          <w:rFonts w:ascii="Cambria" w:hAnsi="Cambria"/>
        </w:rPr>
      </w:pPr>
      <w:r w:rsidRPr="0087538C">
        <w:rPr>
          <w:rFonts w:ascii="Cambria" w:hAnsi="Cambria"/>
          <w:b/>
          <w:bCs/>
        </w:rPr>
        <w:t>Obstáculos Técnicos al Comercio (TBT):</w:t>
      </w:r>
      <w:r w:rsidRPr="0087538C">
        <w:rPr>
          <w:rFonts w:ascii="Cambria" w:hAnsi="Cambria"/>
        </w:rPr>
        <w:t xml:space="preserve"> Evitar que normas técnicas sean barreras encubiertas.</w:t>
      </w:r>
    </w:p>
    <w:p w14:paraId="607D80DC" w14:textId="77777777" w:rsidR="00A22E47" w:rsidRPr="0087538C" w:rsidRDefault="00A22E47" w:rsidP="0087538C">
      <w:pPr>
        <w:numPr>
          <w:ilvl w:val="0"/>
          <w:numId w:val="4"/>
        </w:numPr>
        <w:jc w:val="both"/>
        <w:rPr>
          <w:rFonts w:ascii="Cambria" w:hAnsi="Cambria"/>
        </w:rPr>
      </w:pPr>
      <w:r w:rsidRPr="0087538C">
        <w:rPr>
          <w:rFonts w:ascii="Cambria" w:hAnsi="Cambria"/>
          <w:b/>
          <w:bCs/>
        </w:rPr>
        <w:t>Medidas Sanitarias y Fitosanitarias (SPS):</w:t>
      </w:r>
      <w:r w:rsidRPr="0087538C">
        <w:rPr>
          <w:rFonts w:ascii="Cambria" w:hAnsi="Cambria"/>
        </w:rPr>
        <w:t xml:space="preserve"> Basadas en principios científicos para proteger salud/vida, sin discriminar arbitrariamente.</w:t>
      </w:r>
    </w:p>
    <w:p w14:paraId="49C56564" w14:textId="77777777" w:rsidR="00A22E47" w:rsidRPr="0087538C" w:rsidRDefault="00A22E47" w:rsidP="0087538C">
      <w:pPr>
        <w:numPr>
          <w:ilvl w:val="0"/>
          <w:numId w:val="4"/>
        </w:numPr>
        <w:jc w:val="both"/>
        <w:rPr>
          <w:rFonts w:ascii="Cambria" w:hAnsi="Cambria"/>
        </w:rPr>
      </w:pPr>
      <w:r w:rsidRPr="0087538C">
        <w:rPr>
          <w:rFonts w:ascii="Cambria" w:hAnsi="Cambria"/>
          <w:b/>
          <w:bCs/>
        </w:rPr>
        <w:t>Licencias de Importación:</w:t>
      </w:r>
      <w:r w:rsidRPr="0087538C">
        <w:rPr>
          <w:rFonts w:ascii="Cambria" w:hAnsi="Cambria"/>
        </w:rPr>
        <w:t xml:space="preserve"> Simplificación administrativa y transparencia.</w:t>
      </w:r>
    </w:p>
    <w:p w14:paraId="34CF95A1" w14:textId="77777777" w:rsidR="00A22E47" w:rsidRPr="0087538C" w:rsidRDefault="00A22E47" w:rsidP="0087538C">
      <w:pPr>
        <w:numPr>
          <w:ilvl w:val="0"/>
          <w:numId w:val="4"/>
        </w:numPr>
        <w:jc w:val="both"/>
        <w:rPr>
          <w:rFonts w:ascii="Cambria" w:hAnsi="Cambria"/>
        </w:rPr>
      </w:pPr>
      <w:r w:rsidRPr="0087538C">
        <w:rPr>
          <w:rFonts w:ascii="Cambria" w:hAnsi="Cambria"/>
          <w:b/>
          <w:bCs/>
        </w:rPr>
        <w:t>Normas de Origen:</w:t>
      </w:r>
      <w:r w:rsidRPr="0087538C">
        <w:rPr>
          <w:rFonts w:ascii="Cambria" w:hAnsi="Cambria"/>
        </w:rPr>
        <w:t xml:space="preserve"> Determinación de la procedencia (preferenciales y no preferenciales).</w:t>
      </w:r>
    </w:p>
    <w:p w14:paraId="1AAC1556" w14:textId="77777777" w:rsidR="00A22E47" w:rsidRPr="0087538C" w:rsidRDefault="00A22E47" w:rsidP="0087538C">
      <w:pPr>
        <w:pStyle w:val="Ttulo2"/>
        <w:jc w:val="both"/>
        <w:rPr>
          <w:rFonts w:ascii="Cambria" w:hAnsi="Cambria"/>
          <w:b/>
          <w:bCs/>
          <w:color w:val="auto"/>
          <w:sz w:val="24"/>
          <w:szCs w:val="24"/>
        </w:rPr>
      </w:pPr>
      <w:r w:rsidRPr="0087538C">
        <w:rPr>
          <w:rFonts w:ascii="Cambria" w:hAnsi="Cambria"/>
          <w:b/>
          <w:bCs/>
          <w:color w:val="auto"/>
          <w:sz w:val="24"/>
          <w:szCs w:val="24"/>
        </w:rPr>
        <w:t>2.4. Reglas sobre Exportación</w:t>
      </w:r>
    </w:p>
    <w:p w14:paraId="56BB4188" w14:textId="5D055377" w:rsidR="00A22E47" w:rsidRPr="0087538C" w:rsidRDefault="00A22E47" w:rsidP="0087538C">
      <w:pPr>
        <w:numPr>
          <w:ilvl w:val="0"/>
          <w:numId w:val="5"/>
        </w:numPr>
        <w:jc w:val="both"/>
        <w:rPr>
          <w:rFonts w:ascii="Cambria" w:hAnsi="Cambria"/>
        </w:rPr>
      </w:pPr>
      <w:r w:rsidRPr="0087538C">
        <w:rPr>
          <w:rFonts w:ascii="Cambria" w:hAnsi="Cambria"/>
        </w:rPr>
        <w:t>Prohibición general de restricciones cuantitativas a la exportación</w:t>
      </w:r>
      <w:r w:rsidR="002C769B" w:rsidRPr="0087538C">
        <w:rPr>
          <w:rFonts w:ascii="Cambria" w:hAnsi="Cambria"/>
        </w:rPr>
        <w:t>.</w:t>
      </w:r>
    </w:p>
    <w:p w14:paraId="68CDEE92" w14:textId="77777777" w:rsidR="00A22E47" w:rsidRPr="0087538C" w:rsidRDefault="00A22E47" w:rsidP="0087538C">
      <w:pPr>
        <w:numPr>
          <w:ilvl w:val="0"/>
          <w:numId w:val="5"/>
        </w:numPr>
        <w:jc w:val="both"/>
        <w:rPr>
          <w:rFonts w:ascii="Cambria" w:hAnsi="Cambria"/>
        </w:rPr>
      </w:pPr>
      <w:r w:rsidRPr="0087538C">
        <w:rPr>
          <w:rFonts w:ascii="Cambria" w:hAnsi="Cambria"/>
          <w:b/>
          <w:bCs/>
        </w:rPr>
        <w:t>Subvenciones:</w:t>
      </w:r>
    </w:p>
    <w:p w14:paraId="3F465405" w14:textId="77777777" w:rsidR="00A22E47" w:rsidRPr="0087538C" w:rsidRDefault="00A22E47" w:rsidP="0087538C">
      <w:pPr>
        <w:numPr>
          <w:ilvl w:val="1"/>
          <w:numId w:val="5"/>
        </w:numPr>
        <w:jc w:val="both"/>
        <w:rPr>
          <w:rFonts w:ascii="Cambria" w:hAnsi="Cambria"/>
        </w:rPr>
      </w:pPr>
      <w:r w:rsidRPr="0087538C">
        <w:rPr>
          <w:rFonts w:ascii="Cambria" w:hAnsi="Cambria"/>
          <w:b/>
          <w:bCs/>
        </w:rPr>
        <w:t>Caja Roja:</w:t>
      </w:r>
      <w:r w:rsidRPr="0087538C">
        <w:rPr>
          <w:rFonts w:ascii="Cambria" w:hAnsi="Cambria"/>
        </w:rPr>
        <w:t xml:space="preserve"> Prohibidas (supeditadas a resultados de exportación).</w:t>
      </w:r>
    </w:p>
    <w:p w14:paraId="08121CC3" w14:textId="77777777" w:rsidR="00A22E47" w:rsidRPr="0087538C" w:rsidRDefault="00A22E47" w:rsidP="0087538C">
      <w:pPr>
        <w:numPr>
          <w:ilvl w:val="1"/>
          <w:numId w:val="5"/>
        </w:numPr>
        <w:jc w:val="both"/>
        <w:rPr>
          <w:rFonts w:ascii="Cambria" w:hAnsi="Cambria"/>
        </w:rPr>
      </w:pPr>
      <w:r w:rsidRPr="0087538C">
        <w:rPr>
          <w:rFonts w:ascii="Cambria" w:hAnsi="Cambria"/>
          <w:b/>
          <w:bCs/>
        </w:rPr>
        <w:t>Caja Ámbar:</w:t>
      </w:r>
      <w:r w:rsidRPr="0087538C">
        <w:rPr>
          <w:rFonts w:ascii="Cambria" w:hAnsi="Cambria"/>
        </w:rPr>
        <w:t xml:space="preserve"> Recurribles (causan perjuicio a otros).</w:t>
      </w:r>
    </w:p>
    <w:p w14:paraId="39E60941" w14:textId="77777777" w:rsidR="00A22E47" w:rsidRPr="0087538C" w:rsidRDefault="00A22E47" w:rsidP="0087538C">
      <w:pPr>
        <w:numPr>
          <w:ilvl w:val="1"/>
          <w:numId w:val="5"/>
        </w:numPr>
        <w:jc w:val="both"/>
        <w:rPr>
          <w:rFonts w:ascii="Cambria" w:hAnsi="Cambria"/>
        </w:rPr>
      </w:pPr>
      <w:r w:rsidRPr="0087538C">
        <w:rPr>
          <w:rFonts w:ascii="Cambria" w:hAnsi="Cambria"/>
          <w:b/>
          <w:bCs/>
        </w:rPr>
        <w:t>Caja Verde:</w:t>
      </w:r>
      <w:r w:rsidRPr="0087538C">
        <w:rPr>
          <w:rFonts w:ascii="Cambria" w:hAnsi="Cambria"/>
        </w:rPr>
        <w:t xml:space="preserve"> Permitidas (I+D, regionales, ambientales).</w:t>
      </w:r>
    </w:p>
    <w:p w14:paraId="48FDE718" w14:textId="77777777" w:rsidR="00A22E47" w:rsidRPr="0087538C" w:rsidRDefault="00A22E47" w:rsidP="0087538C">
      <w:pPr>
        <w:pStyle w:val="Ttulo2"/>
        <w:jc w:val="both"/>
        <w:rPr>
          <w:rFonts w:ascii="Cambria" w:hAnsi="Cambria"/>
          <w:b/>
          <w:bCs/>
          <w:color w:val="auto"/>
          <w:sz w:val="24"/>
          <w:szCs w:val="24"/>
        </w:rPr>
      </w:pPr>
      <w:r w:rsidRPr="0087538C">
        <w:rPr>
          <w:rFonts w:ascii="Cambria" w:hAnsi="Cambria"/>
          <w:b/>
          <w:bCs/>
          <w:color w:val="auto"/>
          <w:sz w:val="24"/>
          <w:szCs w:val="24"/>
        </w:rPr>
        <w:t>2.5. Medidas de Defensa Comercial</w:t>
      </w:r>
    </w:p>
    <w:p w14:paraId="4F974D73" w14:textId="77777777" w:rsidR="00A22E47" w:rsidRPr="0087538C" w:rsidRDefault="00A22E47" w:rsidP="0087538C">
      <w:pPr>
        <w:numPr>
          <w:ilvl w:val="0"/>
          <w:numId w:val="6"/>
        </w:numPr>
        <w:jc w:val="both"/>
        <w:rPr>
          <w:rFonts w:ascii="Cambria" w:hAnsi="Cambria"/>
        </w:rPr>
      </w:pPr>
      <w:r w:rsidRPr="0087538C">
        <w:rPr>
          <w:rFonts w:ascii="Cambria" w:hAnsi="Cambria"/>
          <w:b/>
          <w:bCs/>
        </w:rPr>
        <w:t>Antidumping:</w:t>
      </w:r>
      <w:r w:rsidRPr="0087538C">
        <w:rPr>
          <w:rFonts w:ascii="Cambria" w:hAnsi="Cambria"/>
        </w:rPr>
        <w:t xml:space="preserve"> Aplicable si hay dumping (&gt;2% valor) que causa daño importante a la industria nacional. Medidas proporcionales, duración máxima 5 años (</w:t>
      </w:r>
      <w:proofErr w:type="spellStart"/>
      <w:r w:rsidRPr="0087538C">
        <w:rPr>
          <w:rFonts w:ascii="Cambria" w:hAnsi="Cambria"/>
          <w:i/>
          <w:iCs/>
        </w:rPr>
        <w:t>sunset</w:t>
      </w:r>
      <w:proofErr w:type="spellEnd"/>
      <w:r w:rsidRPr="0087538C">
        <w:rPr>
          <w:rFonts w:ascii="Cambria" w:hAnsi="Cambria"/>
          <w:i/>
          <w:iCs/>
        </w:rPr>
        <w:t xml:space="preserve"> </w:t>
      </w:r>
      <w:proofErr w:type="spellStart"/>
      <w:r w:rsidRPr="0087538C">
        <w:rPr>
          <w:rFonts w:ascii="Cambria" w:hAnsi="Cambria"/>
          <w:i/>
          <w:iCs/>
        </w:rPr>
        <w:t>clause</w:t>
      </w:r>
      <w:proofErr w:type="spellEnd"/>
      <w:r w:rsidRPr="0087538C">
        <w:rPr>
          <w:rFonts w:ascii="Cambria" w:hAnsi="Cambria"/>
        </w:rPr>
        <w:t>).</w:t>
      </w:r>
    </w:p>
    <w:p w14:paraId="7A83046C" w14:textId="77777777" w:rsidR="00A22E47" w:rsidRPr="0087538C" w:rsidRDefault="00A22E47" w:rsidP="0087538C">
      <w:pPr>
        <w:numPr>
          <w:ilvl w:val="0"/>
          <w:numId w:val="6"/>
        </w:numPr>
        <w:jc w:val="both"/>
        <w:rPr>
          <w:rFonts w:ascii="Cambria" w:hAnsi="Cambria"/>
        </w:rPr>
      </w:pPr>
      <w:r w:rsidRPr="0087538C">
        <w:rPr>
          <w:rFonts w:ascii="Cambria" w:hAnsi="Cambria"/>
          <w:b/>
          <w:bCs/>
        </w:rPr>
        <w:t>Subvenciones y Medidas Compensatorias:</w:t>
      </w:r>
      <w:r w:rsidRPr="0087538C">
        <w:rPr>
          <w:rFonts w:ascii="Cambria" w:hAnsi="Cambria"/>
        </w:rPr>
        <w:t xml:space="preserve"> Contra subvenciones específicas que causan daño. Duración máxima 5 años.</w:t>
      </w:r>
    </w:p>
    <w:p w14:paraId="0F4DA6A9" w14:textId="31CDDCFD" w:rsidR="00A22E47" w:rsidRPr="0087538C" w:rsidRDefault="00A22E47" w:rsidP="0087538C">
      <w:pPr>
        <w:numPr>
          <w:ilvl w:val="0"/>
          <w:numId w:val="6"/>
        </w:numPr>
        <w:jc w:val="both"/>
        <w:rPr>
          <w:rFonts w:ascii="Cambria" w:hAnsi="Cambria"/>
        </w:rPr>
      </w:pPr>
      <w:r w:rsidRPr="0087538C">
        <w:rPr>
          <w:rFonts w:ascii="Cambria" w:hAnsi="Cambria"/>
          <w:b/>
          <w:bCs/>
        </w:rPr>
        <w:lastRenderedPageBreak/>
        <w:t>Salvaguardias:</w:t>
      </w:r>
      <w:r w:rsidRPr="0087538C">
        <w:rPr>
          <w:rFonts w:ascii="Cambria" w:hAnsi="Cambria"/>
        </w:rPr>
        <w:t xml:space="preserve"> Medidas de urgencia (aranceles/cuotas) ante un incremento imprevisto de importaciones que daña la industria. Aplicación temporal (4 años prorrogables)</w:t>
      </w:r>
      <w:r w:rsidR="002C769B" w:rsidRPr="0087538C">
        <w:rPr>
          <w:rFonts w:ascii="Cambria" w:hAnsi="Cambria"/>
        </w:rPr>
        <w:t>.</w:t>
      </w:r>
    </w:p>
    <w:p w14:paraId="30FF6BF3" w14:textId="77777777" w:rsidR="00A22E47" w:rsidRPr="0087538C" w:rsidRDefault="00A22E47" w:rsidP="0087538C">
      <w:pPr>
        <w:pStyle w:val="Ttulo2"/>
        <w:jc w:val="both"/>
        <w:rPr>
          <w:rFonts w:ascii="Cambria" w:hAnsi="Cambria"/>
          <w:b/>
          <w:bCs/>
          <w:color w:val="auto"/>
          <w:sz w:val="24"/>
          <w:szCs w:val="24"/>
        </w:rPr>
      </w:pPr>
      <w:r w:rsidRPr="0087538C">
        <w:rPr>
          <w:rFonts w:ascii="Cambria" w:hAnsi="Cambria"/>
          <w:b/>
          <w:bCs/>
          <w:color w:val="auto"/>
          <w:sz w:val="24"/>
          <w:szCs w:val="24"/>
        </w:rPr>
        <w:t>2.6. Acuerdos Plurilaterales</w:t>
      </w:r>
    </w:p>
    <w:p w14:paraId="51DD18DA" w14:textId="052D8515" w:rsidR="00A22E47" w:rsidRPr="0087538C" w:rsidRDefault="00A22E47" w:rsidP="0087538C">
      <w:pPr>
        <w:jc w:val="both"/>
        <w:rPr>
          <w:rFonts w:ascii="Cambria" w:hAnsi="Cambria"/>
        </w:rPr>
      </w:pPr>
      <w:r w:rsidRPr="0087538C">
        <w:rPr>
          <w:rFonts w:ascii="Cambria" w:hAnsi="Cambria"/>
        </w:rPr>
        <w:t>Solo obligan a los firmantes (Aeronaves Civiles, Contratación Pública).</w:t>
      </w:r>
    </w:p>
    <w:p w14:paraId="2A0F394A" w14:textId="77777777" w:rsidR="00A22E47" w:rsidRPr="0087538C" w:rsidRDefault="00A22E47" w:rsidP="0087538C">
      <w:pPr>
        <w:pStyle w:val="Ttulo1"/>
        <w:jc w:val="both"/>
        <w:rPr>
          <w:rFonts w:ascii="Cambria" w:hAnsi="Cambria"/>
          <w:b/>
          <w:bCs/>
          <w:color w:val="auto"/>
          <w:sz w:val="28"/>
          <w:szCs w:val="28"/>
        </w:rPr>
      </w:pPr>
      <w:r w:rsidRPr="0087538C">
        <w:rPr>
          <w:rFonts w:ascii="Cambria" w:hAnsi="Cambria"/>
          <w:b/>
          <w:bCs/>
          <w:color w:val="auto"/>
          <w:sz w:val="28"/>
          <w:szCs w:val="28"/>
        </w:rPr>
        <w:t>3. Rondas de Negociación Comercial</w:t>
      </w:r>
    </w:p>
    <w:p w14:paraId="25159A69" w14:textId="77777777" w:rsidR="00A22E47" w:rsidRPr="0087538C" w:rsidRDefault="00A22E47" w:rsidP="0087538C">
      <w:pPr>
        <w:pStyle w:val="Ttulo2"/>
        <w:jc w:val="both"/>
        <w:rPr>
          <w:rFonts w:ascii="Cambria" w:hAnsi="Cambria"/>
          <w:b/>
          <w:bCs/>
          <w:color w:val="auto"/>
          <w:sz w:val="24"/>
          <w:szCs w:val="24"/>
        </w:rPr>
      </w:pPr>
      <w:r w:rsidRPr="0087538C">
        <w:rPr>
          <w:rFonts w:ascii="Cambria" w:hAnsi="Cambria"/>
          <w:b/>
          <w:bCs/>
          <w:color w:val="auto"/>
          <w:sz w:val="24"/>
          <w:szCs w:val="24"/>
        </w:rPr>
        <w:t>3.1. Primera Etapa (1947-1964): Reducción Arancelaria</w:t>
      </w:r>
    </w:p>
    <w:p w14:paraId="48D16F68" w14:textId="77777777" w:rsidR="00A22E47" w:rsidRPr="0087538C" w:rsidRDefault="00A22E47" w:rsidP="0087538C">
      <w:pPr>
        <w:numPr>
          <w:ilvl w:val="0"/>
          <w:numId w:val="7"/>
        </w:numPr>
        <w:jc w:val="both"/>
        <w:rPr>
          <w:rFonts w:ascii="Cambria" w:hAnsi="Cambria"/>
        </w:rPr>
      </w:pPr>
      <w:r w:rsidRPr="0087538C">
        <w:rPr>
          <w:rFonts w:ascii="Cambria" w:hAnsi="Cambria"/>
          <w:b/>
          <w:bCs/>
        </w:rPr>
        <w:t xml:space="preserve">5 </w:t>
      </w:r>
      <w:proofErr w:type="gramStart"/>
      <w:r w:rsidRPr="0087538C">
        <w:rPr>
          <w:rFonts w:ascii="Cambria" w:hAnsi="Cambria"/>
          <w:b/>
          <w:bCs/>
        </w:rPr>
        <w:t>Primeras</w:t>
      </w:r>
      <w:proofErr w:type="gramEnd"/>
      <w:r w:rsidRPr="0087538C">
        <w:rPr>
          <w:rFonts w:ascii="Cambria" w:hAnsi="Cambria"/>
          <w:b/>
          <w:bCs/>
        </w:rPr>
        <w:t xml:space="preserve"> Rondas (Ginebra, Annecy, Torquay, Ginebra, Dillon):</w:t>
      </w:r>
      <w:r w:rsidRPr="0087538C">
        <w:rPr>
          <w:rFonts w:ascii="Cambria" w:hAnsi="Cambria"/>
        </w:rPr>
        <w:t xml:space="preserve"> Negociación producto por producto.</w:t>
      </w:r>
    </w:p>
    <w:p w14:paraId="25ABCAA4" w14:textId="77777777" w:rsidR="00A22E47" w:rsidRPr="0087538C" w:rsidRDefault="00A22E47" w:rsidP="0087538C">
      <w:pPr>
        <w:numPr>
          <w:ilvl w:val="0"/>
          <w:numId w:val="7"/>
        </w:numPr>
        <w:jc w:val="both"/>
        <w:rPr>
          <w:rFonts w:ascii="Cambria" w:hAnsi="Cambria"/>
        </w:rPr>
      </w:pPr>
      <w:r w:rsidRPr="0087538C">
        <w:rPr>
          <w:rFonts w:ascii="Cambria" w:hAnsi="Cambria"/>
        </w:rPr>
        <w:t>Enfoque en reducción y consolidación de aranceles (medida principal de protección).</w:t>
      </w:r>
    </w:p>
    <w:p w14:paraId="4A89B198" w14:textId="77777777" w:rsidR="00A22E47" w:rsidRPr="0087538C" w:rsidRDefault="00A22E47" w:rsidP="0087538C">
      <w:pPr>
        <w:pStyle w:val="Ttulo2"/>
        <w:jc w:val="both"/>
        <w:rPr>
          <w:rFonts w:ascii="Cambria" w:hAnsi="Cambria"/>
          <w:b/>
          <w:bCs/>
          <w:color w:val="auto"/>
          <w:sz w:val="24"/>
          <w:szCs w:val="24"/>
        </w:rPr>
      </w:pPr>
      <w:r w:rsidRPr="0087538C">
        <w:rPr>
          <w:rFonts w:ascii="Cambria" w:hAnsi="Cambria"/>
          <w:b/>
          <w:bCs/>
          <w:color w:val="auto"/>
          <w:sz w:val="24"/>
          <w:szCs w:val="24"/>
        </w:rPr>
        <w:t>3.2. Segunda Etapa (1964-1980): Códigos y Desarrollo</w:t>
      </w:r>
    </w:p>
    <w:p w14:paraId="1F6F0104" w14:textId="77777777" w:rsidR="00A22E47" w:rsidRPr="0087538C" w:rsidRDefault="00A22E47" w:rsidP="0087538C">
      <w:pPr>
        <w:numPr>
          <w:ilvl w:val="0"/>
          <w:numId w:val="8"/>
        </w:numPr>
        <w:jc w:val="both"/>
        <w:rPr>
          <w:rFonts w:ascii="Cambria" w:hAnsi="Cambria"/>
        </w:rPr>
      </w:pPr>
      <w:r w:rsidRPr="0087538C">
        <w:rPr>
          <w:rFonts w:ascii="Cambria" w:hAnsi="Cambria"/>
          <w:b/>
          <w:bCs/>
        </w:rPr>
        <w:t>Ronda Kennedy (1964-67):</w:t>
      </w:r>
      <w:r w:rsidRPr="0087538C">
        <w:rPr>
          <w:rFonts w:ascii="Cambria" w:hAnsi="Cambria"/>
        </w:rPr>
        <w:t xml:space="preserve"> Reducción lineal de aranceles industriales (30%) y primer Código Antidumping. Incorporación de la Parte IV sobre Comercio y Desarrollo.</w:t>
      </w:r>
    </w:p>
    <w:p w14:paraId="0086C668" w14:textId="77777777" w:rsidR="00A22E47" w:rsidRPr="0087538C" w:rsidRDefault="00A22E47" w:rsidP="0087538C">
      <w:pPr>
        <w:numPr>
          <w:ilvl w:val="0"/>
          <w:numId w:val="8"/>
        </w:numPr>
        <w:jc w:val="both"/>
        <w:rPr>
          <w:rFonts w:ascii="Cambria" w:hAnsi="Cambria"/>
        </w:rPr>
      </w:pPr>
      <w:r w:rsidRPr="0087538C">
        <w:rPr>
          <w:rFonts w:ascii="Cambria" w:hAnsi="Cambria"/>
          <w:b/>
          <w:bCs/>
        </w:rPr>
        <w:t>Ronda Tokio (1973-79):</w:t>
      </w:r>
      <w:r w:rsidRPr="0087538C">
        <w:rPr>
          <w:rFonts w:ascii="Cambria" w:hAnsi="Cambria"/>
        </w:rPr>
        <w:t xml:space="preserve"> Contexto de crisis. Gran avance en Barreras No Arancelarias (Códigos sobre Valoración, Subvenciones, TBT). Cláusula de Habilitación para el trato especial a PED.</w:t>
      </w:r>
    </w:p>
    <w:p w14:paraId="4D762FFD" w14:textId="77777777" w:rsidR="00A22E47" w:rsidRPr="0087538C" w:rsidRDefault="00A22E47" w:rsidP="0087538C">
      <w:pPr>
        <w:pStyle w:val="Ttulo2"/>
        <w:jc w:val="both"/>
        <w:rPr>
          <w:rFonts w:ascii="Cambria" w:hAnsi="Cambria"/>
          <w:b/>
          <w:bCs/>
          <w:color w:val="auto"/>
          <w:sz w:val="24"/>
          <w:szCs w:val="24"/>
        </w:rPr>
      </w:pPr>
      <w:r w:rsidRPr="0087538C">
        <w:rPr>
          <w:rFonts w:ascii="Cambria" w:hAnsi="Cambria"/>
          <w:b/>
          <w:bCs/>
          <w:color w:val="auto"/>
          <w:sz w:val="24"/>
          <w:szCs w:val="24"/>
        </w:rPr>
        <w:t>3.3. Tercera Etapa (1980-1995): Ronda Uruguay y Creación de la OMC</w:t>
      </w:r>
    </w:p>
    <w:p w14:paraId="4A1BDD32" w14:textId="77777777" w:rsidR="00A22E47" w:rsidRPr="0087538C" w:rsidRDefault="00A22E47" w:rsidP="0087538C">
      <w:pPr>
        <w:numPr>
          <w:ilvl w:val="0"/>
          <w:numId w:val="9"/>
        </w:numPr>
        <w:jc w:val="both"/>
        <w:rPr>
          <w:rFonts w:ascii="Cambria" w:hAnsi="Cambria"/>
        </w:rPr>
      </w:pPr>
      <w:r w:rsidRPr="0087538C">
        <w:rPr>
          <w:rFonts w:ascii="Cambria" w:hAnsi="Cambria"/>
          <w:b/>
          <w:bCs/>
        </w:rPr>
        <w:t>Ronda Uruguay (1986-94):</w:t>
      </w:r>
      <w:r w:rsidRPr="0087538C">
        <w:rPr>
          <w:rFonts w:ascii="Cambria" w:hAnsi="Cambria"/>
        </w:rPr>
        <w:t xml:space="preserve"> La más ambiciosa.</w:t>
      </w:r>
    </w:p>
    <w:p w14:paraId="2A0195C4" w14:textId="77777777" w:rsidR="00A22E47" w:rsidRPr="0087538C" w:rsidRDefault="00A22E47" w:rsidP="0087538C">
      <w:pPr>
        <w:numPr>
          <w:ilvl w:val="1"/>
          <w:numId w:val="9"/>
        </w:numPr>
        <w:jc w:val="both"/>
        <w:rPr>
          <w:rFonts w:ascii="Cambria" w:hAnsi="Cambria"/>
        </w:rPr>
      </w:pPr>
      <w:r w:rsidRPr="0087538C">
        <w:rPr>
          <w:rFonts w:ascii="Cambria" w:hAnsi="Cambria"/>
          <w:b/>
          <w:bCs/>
        </w:rPr>
        <w:t>Creación de la OMC:</w:t>
      </w:r>
      <w:r w:rsidRPr="0087538C">
        <w:rPr>
          <w:rFonts w:ascii="Cambria" w:hAnsi="Cambria"/>
        </w:rPr>
        <w:t xml:space="preserve"> Acta Final de Marrakech.</w:t>
      </w:r>
    </w:p>
    <w:p w14:paraId="19DB4870" w14:textId="77777777" w:rsidR="00A22E47" w:rsidRPr="0087538C" w:rsidRDefault="00A22E47" w:rsidP="0087538C">
      <w:pPr>
        <w:numPr>
          <w:ilvl w:val="1"/>
          <w:numId w:val="9"/>
        </w:numPr>
        <w:jc w:val="both"/>
        <w:rPr>
          <w:rFonts w:ascii="Cambria" w:hAnsi="Cambria"/>
        </w:rPr>
      </w:pPr>
      <w:r w:rsidRPr="0087538C">
        <w:rPr>
          <w:rFonts w:ascii="Cambria" w:hAnsi="Cambria"/>
          <w:b/>
          <w:bCs/>
        </w:rPr>
        <w:t>Ampliación temática:</w:t>
      </w:r>
      <w:r w:rsidRPr="0087538C">
        <w:rPr>
          <w:rFonts w:ascii="Cambria" w:hAnsi="Cambria"/>
        </w:rPr>
        <w:t xml:space="preserve"> Inclusión de Agricultura, Textiles, Servicios (GATS), Propiedad Intelectual (TRIPS) e Inversiones (</w:t>
      </w:r>
      <w:proofErr w:type="spellStart"/>
      <w:r w:rsidRPr="0087538C">
        <w:rPr>
          <w:rFonts w:ascii="Cambria" w:hAnsi="Cambria"/>
        </w:rPr>
        <w:t>TRIMs</w:t>
      </w:r>
      <w:proofErr w:type="spellEnd"/>
      <w:r w:rsidRPr="0087538C">
        <w:rPr>
          <w:rFonts w:ascii="Cambria" w:hAnsi="Cambria"/>
        </w:rPr>
        <w:t>).</w:t>
      </w:r>
    </w:p>
    <w:p w14:paraId="0C76A810" w14:textId="77777777" w:rsidR="00A22E47" w:rsidRPr="0087538C" w:rsidRDefault="00A22E47" w:rsidP="0087538C">
      <w:pPr>
        <w:numPr>
          <w:ilvl w:val="1"/>
          <w:numId w:val="9"/>
        </w:numPr>
        <w:jc w:val="both"/>
        <w:rPr>
          <w:rFonts w:ascii="Cambria" w:hAnsi="Cambria"/>
        </w:rPr>
      </w:pPr>
      <w:r w:rsidRPr="0087538C">
        <w:rPr>
          <w:rFonts w:ascii="Cambria" w:hAnsi="Cambria"/>
          <w:b/>
          <w:bCs/>
        </w:rPr>
        <w:t>Agricultura:</w:t>
      </w:r>
      <w:r w:rsidRPr="0087538C">
        <w:rPr>
          <w:rFonts w:ascii="Cambria" w:hAnsi="Cambria"/>
        </w:rPr>
        <w:t xml:space="preserve"> Arancelización de barreras, reducción de ayudas internas distorsionantes y subvenciones a la exportación. Clasificación de ayudas en Cajas (Verde, Ámbar, Azul).</w:t>
      </w:r>
    </w:p>
    <w:p w14:paraId="3F1A2A35" w14:textId="77777777" w:rsidR="00A22E47" w:rsidRPr="0087538C" w:rsidRDefault="00A22E47" w:rsidP="0087538C">
      <w:pPr>
        <w:numPr>
          <w:ilvl w:val="1"/>
          <w:numId w:val="9"/>
        </w:numPr>
        <w:jc w:val="both"/>
        <w:rPr>
          <w:rFonts w:ascii="Cambria" w:hAnsi="Cambria"/>
        </w:rPr>
      </w:pPr>
      <w:r w:rsidRPr="0087538C">
        <w:rPr>
          <w:rFonts w:ascii="Cambria" w:hAnsi="Cambria"/>
          <w:b/>
          <w:bCs/>
        </w:rPr>
        <w:t>Textiles:</w:t>
      </w:r>
      <w:r w:rsidRPr="0087538C">
        <w:rPr>
          <w:rFonts w:ascii="Cambria" w:hAnsi="Cambria"/>
        </w:rPr>
        <w:t xml:space="preserve"> Desmantelamiento del Acuerdo </w:t>
      </w:r>
      <w:proofErr w:type="spellStart"/>
      <w:r w:rsidRPr="0087538C">
        <w:rPr>
          <w:rFonts w:ascii="Cambria" w:hAnsi="Cambria"/>
        </w:rPr>
        <w:t>Multifibras</w:t>
      </w:r>
      <w:proofErr w:type="spellEnd"/>
      <w:r w:rsidRPr="0087538C">
        <w:rPr>
          <w:rFonts w:ascii="Cambria" w:hAnsi="Cambria"/>
        </w:rPr>
        <w:t xml:space="preserve"> (eliminación de cuotas en 2005).</w:t>
      </w:r>
    </w:p>
    <w:p w14:paraId="69D1F62A" w14:textId="77777777" w:rsidR="00A22E47" w:rsidRPr="0087538C" w:rsidRDefault="00A22E47" w:rsidP="0087538C">
      <w:pPr>
        <w:numPr>
          <w:ilvl w:val="1"/>
          <w:numId w:val="9"/>
        </w:numPr>
        <w:jc w:val="both"/>
        <w:rPr>
          <w:rFonts w:ascii="Cambria" w:hAnsi="Cambria"/>
        </w:rPr>
      </w:pPr>
      <w:r w:rsidRPr="0087538C">
        <w:rPr>
          <w:rFonts w:ascii="Cambria" w:hAnsi="Cambria"/>
          <w:b/>
          <w:bCs/>
        </w:rPr>
        <w:t>Solución de Diferencias:</w:t>
      </w:r>
      <w:r w:rsidRPr="0087538C">
        <w:rPr>
          <w:rFonts w:ascii="Cambria" w:hAnsi="Cambria"/>
        </w:rPr>
        <w:t xml:space="preserve"> Sistema unificado y vinculante.</w:t>
      </w:r>
    </w:p>
    <w:p w14:paraId="36DD8AF7" w14:textId="77777777" w:rsidR="00A22E47" w:rsidRPr="0087538C" w:rsidRDefault="00A22E47" w:rsidP="0087538C">
      <w:pPr>
        <w:pStyle w:val="Ttulo2"/>
        <w:jc w:val="both"/>
        <w:rPr>
          <w:rFonts w:ascii="Cambria" w:hAnsi="Cambria"/>
          <w:b/>
          <w:bCs/>
          <w:color w:val="auto"/>
          <w:sz w:val="24"/>
          <w:szCs w:val="24"/>
        </w:rPr>
      </w:pPr>
      <w:r w:rsidRPr="0087538C">
        <w:rPr>
          <w:rFonts w:ascii="Cambria" w:hAnsi="Cambria"/>
          <w:b/>
          <w:bCs/>
          <w:color w:val="auto"/>
          <w:sz w:val="24"/>
          <w:szCs w:val="24"/>
        </w:rPr>
        <w:t>3.4. Cuarta Etapa (1995-Actualidad): Ronda de Doha y Conferencias Ministeriales</w:t>
      </w:r>
    </w:p>
    <w:p w14:paraId="6C28FA2C" w14:textId="3296F56F" w:rsidR="00A22E47" w:rsidRPr="0087538C" w:rsidRDefault="00A22E47" w:rsidP="0087538C">
      <w:pPr>
        <w:numPr>
          <w:ilvl w:val="0"/>
          <w:numId w:val="10"/>
        </w:numPr>
        <w:jc w:val="both"/>
        <w:rPr>
          <w:rFonts w:ascii="Cambria" w:hAnsi="Cambria"/>
        </w:rPr>
      </w:pPr>
      <w:r w:rsidRPr="0087538C">
        <w:rPr>
          <w:rFonts w:ascii="Cambria" w:hAnsi="Cambria"/>
          <w:b/>
          <w:bCs/>
        </w:rPr>
        <w:t>Ronda Doha (2001-Act.):</w:t>
      </w:r>
      <w:r w:rsidRPr="0087538C">
        <w:rPr>
          <w:rFonts w:ascii="Cambria" w:hAnsi="Cambria"/>
        </w:rPr>
        <w:t xml:space="preserve"> Programa de Doha para el </w:t>
      </w:r>
      <w:proofErr w:type="gramStart"/>
      <w:r w:rsidRPr="0087538C">
        <w:rPr>
          <w:rFonts w:ascii="Cambria" w:hAnsi="Cambria"/>
        </w:rPr>
        <w:t>Desarrollo .</w:t>
      </w:r>
      <w:proofErr w:type="gramEnd"/>
    </w:p>
    <w:p w14:paraId="7B125F05" w14:textId="5C4AF129" w:rsidR="00A22E47" w:rsidRPr="0087538C" w:rsidRDefault="00A22E47" w:rsidP="0087538C">
      <w:pPr>
        <w:numPr>
          <w:ilvl w:val="1"/>
          <w:numId w:val="10"/>
        </w:numPr>
        <w:jc w:val="both"/>
        <w:rPr>
          <w:rFonts w:ascii="Cambria" w:hAnsi="Cambria"/>
        </w:rPr>
      </w:pPr>
      <w:r w:rsidRPr="0087538C">
        <w:rPr>
          <w:rFonts w:ascii="Cambria" w:hAnsi="Cambria"/>
          <w:b/>
          <w:bCs/>
        </w:rPr>
        <w:t>Objetivo:</w:t>
      </w:r>
      <w:r w:rsidRPr="0087538C">
        <w:rPr>
          <w:rFonts w:ascii="Cambria" w:hAnsi="Cambria"/>
        </w:rPr>
        <w:t xml:space="preserve"> Reforma del sistema atendiendo a los </w:t>
      </w:r>
      <w:r w:rsidR="002C769B" w:rsidRPr="0087538C">
        <w:rPr>
          <w:rFonts w:ascii="Cambria" w:hAnsi="Cambria"/>
        </w:rPr>
        <w:t>PED.</w:t>
      </w:r>
    </w:p>
    <w:p w14:paraId="0AD43888" w14:textId="77777777" w:rsidR="00A22E47" w:rsidRPr="0087538C" w:rsidRDefault="00A22E47" w:rsidP="0087538C">
      <w:pPr>
        <w:numPr>
          <w:ilvl w:val="1"/>
          <w:numId w:val="10"/>
        </w:numPr>
        <w:jc w:val="both"/>
        <w:rPr>
          <w:rFonts w:ascii="Cambria" w:hAnsi="Cambria"/>
        </w:rPr>
      </w:pPr>
      <w:r w:rsidRPr="0087538C">
        <w:rPr>
          <w:rFonts w:ascii="Cambria" w:hAnsi="Cambria"/>
          <w:b/>
          <w:bCs/>
        </w:rPr>
        <w:lastRenderedPageBreak/>
        <w:t>Temas:</w:t>
      </w:r>
      <w:r w:rsidRPr="0087538C">
        <w:rPr>
          <w:rFonts w:ascii="Cambria" w:hAnsi="Cambria"/>
        </w:rPr>
        <w:t xml:space="preserve"> Agricultura (acceso y subvenciones), AMNA (productos no agrícolas), Servicios, Facilitación, Normas.</w:t>
      </w:r>
    </w:p>
    <w:p w14:paraId="0A897AAC" w14:textId="76F0232C" w:rsidR="00A22E47" w:rsidRPr="0087538C" w:rsidRDefault="00A22E47" w:rsidP="0087538C">
      <w:pPr>
        <w:numPr>
          <w:ilvl w:val="1"/>
          <w:numId w:val="10"/>
        </w:numPr>
        <w:jc w:val="both"/>
        <w:rPr>
          <w:rFonts w:ascii="Cambria" w:hAnsi="Cambria"/>
        </w:rPr>
      </w:pPr>
      <w:r w:rsidRPr="0087538C">
        <w:rPr>
          <w:rFonts w:ascii="Cambria" w:hAnsi="Cambria"/>
          <w:b/>
          <w:bCs/>
        </w:rPr>
        <w:t>Evolución:</w:t>
      </w:r>
      <w:r w:rsidRPr="0087538C">
        <w:rPr>
          <w:rFonts w:ascii="Cambria" w:hAnsi="Cambria"/>
        </w:rPr>
        <w:t xml:space="preserve"> Estancamiento por divergencias en </w:t>
      </w:r>
      <w:r w:rsidR="002C769B" w:rsidRPr="0087538C">
        <w:rPr>
          <w:rFonts w:ascii="Cambria" w:hAnsi="Cambria"/>
        </w:rPr>
        <w:t>agricultura y otros temas</w:t>
      </w:r>
      <w:r w:rsidRPr="0087538C">
        <w:rPr>
          <w:rFonts w:ascii="Cambria" w:hAnsi="Cambria"/>
        </w:rPr>
        <w:t>. Suspensión en 2006 y reanudación con enfoque en acuerdos parciales</w:t>
      </w:r>
      <w:r w:rsidR="002C769B" w:rsidRPr="0087538C">
        <w:rPr>
          <w:rFonts w:ascii="Cambria" w:hAnsi="Cambria"/>
        </w:rPr>
        <w:t>.</w:t>
      </w:r>
    </w:p>
    <w:p w14:paraId="5733D3FA" w14:textId="567B24C1" w:rsidR="00A22E47" w:rsidRPr="0087538C" w:rsidRDefault="00A22E47" w:rsidP="0087538C">
      <w:pPr>
        <w:numPr>
          <w:ilvl w:val="0"/>
          <w:numId w:val="10"/>
        </w:numPr>
        <w:jc w:val="both"/>
        <w:rPr>
          <w:rFonts w:ascii="Cambria" w:hAnsi="Cambria"/>
        </w:rPr>
      </w:pPr>
      <w:r w:rsidRPr="0087538C">
        <w:rPr>
          <w:rFonts w:ascii="Cambria" w:hAnsi="Cambria"/>
          <w:b/>
          <w:bCs/>
        </w:rPr>
        <w:t>Conferencias Ministeriales:</w:t>
      </w:r>
    </w:p>
    <w:p w14:paraId="7A580033" w14:textId="3044E1AA" w:rsidR="00A22E47" w:rsidRPr="0087538C" w:rsidRDefault="00A22E47" w:rsidP="0087538C">
      <w:pPr>
        <w:numPr>
          <w:ilvl w:val="1"/>
          <w:numId w:val="10"/>
        </w:numPr>
        <w:jc w:val="both"/>
        <w:rPr>
          <w:rFonts w:ascii="Cambria" w:hAnsi="Cambria"/>
        </w:rPr>
      </w:pPr>
      <w:r w:rsidRPr="0087538C">
        <w:rPr>
          <w:rFonts w:ascii="Cambria" w:hAnsi="Cambria"/>
          <w:b/>
          <w:bCs/>
        </w:rPr>
        <w:t>Bali (2013):</w:t>
      </w:r>
      <w:r w:rsidRPr="0087538C">
        <w:rPr>
          <w:rFonts w:ascii="Cambria" w:hAnsi="Cambria"/>
        </w:rPr>
        <w:t xml:space="preserve"> Aprobación del </w:t>
      </w:r>
      <w:r w:rsidRPr="0087538C">
        <w:rPr>
          <w:rFonts w:ascii="Cambria" w:hAnsi="Cambria"/>
          <w:u w:val="single"/>
        </w:rPr>
        <w:t>Acuerdo sobre Facilitación del Comercio</w:t>
      </w:r>
      <w:r w:rsidRPr="0087538C">
        <w:rPr>
          <w:rFonts w:ascii="Cambria" w:hAnsi="Cambria"/>
        </w:rPr>
        <w:t xml:space="preserve"> (primer acuerdo multilateral de la OMC). Reduce burocracia aduanera. Temas de seguridad y LDC.</w:t>
      </w:r>
    </w:p>
    <w:p w14:paraId="1D0C9153" w14:textId="77777777" w:rsidR="00A22E47" w:rsidRPr="0087538C" w:rsidRDefault="00A22E47" w:rsidP="0087538C">
      <w:pPr>
        <w:numPr>
          <w:ilvl w:val="1"/>
          <w:numId w:val="10"/>
        </w:numPr>
        <w:jc w:val="both"/>
        <w:rPr>
          <w:rFonts w:ascii="Cambria" w:hAnsi="Cambria"/>
        </w:rPr>
      </w:pPr>
      <w:r w:rsidRPr="0087538C">
        <w:rPr>
          <w:rFonts w:ascii="Cambria" w:hAnsi="Cambria"/>
          <w:b/>
          <w:bCs/>
        </w:rPr>
        <w:t>Nairobi (2015):</w:t>
      </w:r>
      <w:r w:rsidRPr="0087538C">
        <w:rPr>
          <w:rFonts w:ascii="Cambria" w:hAnsi="Cambria"/>
        </w:rPr>
        <w:t xml:space="preserve"> Eliminación total de las </w:t>
      </w:r>
      <w:r w:rsidRPr="0087538C">
        <w:rPr>
          <w:rFonts w:ascii="Cambria" w:hAnsi="Cambria"/>
          <w:u w:val="single"/>
        </w:rPr>
        <w:t>subvenciones a la exportación agrícola</w:t>
      </w:r>
      <w:r w:rsidRPr="0087538C">
        <w:rPr>
          <w:rFonts w:ascii="Cambria" w:hAnsi="Cambria"/>
        </w:rPr>
        <w:t>. Decisiones favorables a PMA (algodón, reglas de origen) y ampliación del Acuerdo de Tecnologías de la Información (ITA).</w:t>
      </w:r>
    </w:p>
    <w:p w14:paraId="062FED1B" w14:textId="77777777" w:rsidR="00A22E47" w:rsidRPr="0087538C" w:rsidRDefault="00A22E47" w:rsidP="0087538C">
      <w:pPr>
        <w:numPr>
          <w:ilvl w:val="1"/>
          <w:numId w:val="10"/>
        </w:numPr>
        <w:jc w:val="both"/>
        <w:rPr>
          <w:rFonts w:ascii="Cambria" w:hAnsi="Cambria"/>
        </w:rPr>
      </w:pPr>
      <w:r w:rsidRPr="0087538C">
        <w:rPr>
          <w:rFonts w:ascii="Cambria" w:hAnsi="Cambria"/>
          <w:b/>
          <w:bCs/>
        </w:rPr>
        <w:t>Buenos Aires (2017):</w:t>
      </w:r>
      <w:r w:rsidRPr="0087538C">
        <w:rPr>
          <w:rFonts w:ascii="Cambria" w:hAnsi="Cambria"/>
        </w:rPr>
        <w:t xml:space="preserve"> Sin grandes acuerdos multilaterales. Compromisos de trabajo en subvenciones a la pesca y comercio electrónico.</w:t>
      </w:r>
    </w:p>
    <w:p w14:paraId="77A7D103" w14:textId="43F8D8C4" w:rsidR="00A22E47" w:rsidRPr="0087538C" w:rsidRDefault="00A22E47" w:rsidP="0087538C">
      <w:pPr>
        <w:numPr>
          <w:ilvl w:val="1"/>
          <w:numId w:val="10"/>
        </w:numPr>
        <w:jc w:val="both"/>
        <w:rPr>
          <w:rFonts w:ascii="Cambria" w:hAnsi="Cambria"/>
        </w:rPr>
      </w:pPr>
      <w:r w:rsidRPr="0087538C">
        <w:rPr>
          <w:rFonts w:ascii="Cambria" w:hAnsi="Cambria"/>
          <w:b/>
          <w:bCs/>
        </w:rPr>
        <w:t>Ginebra (2022 - CM12):</w:t>
      </w:r>
      <w:r w:rsidRPr="0087538C">
        <w:rPr>
          <w:rFonts w:ascii="Cambria" w:hAnsi="Cambria"/>
        </w:rPr>
        <w:t xml:space="preserve">  </w:t>
      </w:r>
      <w:r w:rsidRPr="0087538C">
        <w:rPr>
          <w:rFonts w:ascii="Cambria" w:hAnsi="Cambria"/>
          <w:u w:val="single"/>
        </w:rPr>
        <w:t>Acuerdo sobre Subvenciones a la Pesca</w:t>
      </w:r>
      <w:r w:rsidRPr="0087538C">
        <w:rPr>
          <w:rFonts w:ascii="Cambria" w:hAnsi="Cambria"/>
        </w:rPr>
        <w:t xml:space="preserve"> (sostenibilidad ambiental). Respuesta a la pandemia (exención TRIPS para vacunas) y seguridad alimentaria.</w:t>
      </w:r>
    </w:p>
    <w:p w14:paraId="7C0A66BC" w14:textId="77777777" w:rsidR="00A22E47" w:rsidRPr="0087538C" w:rsidRDefault="00A22E47" w:rsidP="0087538C">
      <w:pPr>
        <w:numPr>
          <w:ilvl w:val="1"/>
          <w:numId w:val="10"/>
        </w:numPr>
        <w:jc w:val="both"/>
        <w:rPr>
          <w:rFonts w:ascii="Cambria" w:hAnsi="Cambria"/>
        </w:rPr>
      </w:pPr>
      <w:r w:rsidRPr="0087538C">
        <w:rPr>
          <w:rFonts w:ascii="Cambria" w:hAnsi="Cambria"/>
          <w:b/>
          <w:bCs/>
        </w:rPr>
        <w:t>Abu Dabi (2024 - CM13):</w:t>
      </w:r>
      <w:r w:rsidRPr="0087538C">
        <w:rPr>
          <w:rFonts w:ascii="Cambria" w:hAnsi="Cambria"/>
        </w:rPr>
        <w:t xml:space="preserve"> Adhesión de </w:t>
      </w:r>
      <w:proofErr w:type="gramStart"/>
      <w:r w:rsidRPr="0087538C">
        <w:rPr>
          <w:rFonts w:ascii="Cambria" w:hAnsi="Cambria"/>
        </w:rPr>
        <w:t>Comoras</w:t>
      </w:r>
      <w:proofErr w:type="gramEnd"/>
      <w:r w:rsidRPr="0087538C">
        <w:rPr>
          <w:rFonts w:ascii="Cambria" w:hAnsi="Cambria"/>
        </w:rPr>
        <w:t xml:space="preserve"> y Timor-Leste. Continuación de moratoria de comercio electrónico y reforma del sistema de solución de diferencias.</w:t>
      </w:r>
    </w:p>
    <w:p w14:paraId="361423DF" w14:textId="77777777" w:rsidR="00A22E47" w:rsidRPr="0087538C" w:rsidRDefault="00A22E47" w:rsidP="0087538C">
      <w:pPr>
        <w:pStyle w:val="Ttulo1"/>
        <w:jc w:val="both"/>
        <w:rPr>
          <w:rFonts w:ascii="Cambria" w:hAnsi="Cambria"/>
          <w:b/>
          <w:bCs/>
          <w:color w:val="auto"/>
          <w:sz w:val="28"/>
          <w:szCs w:val="28"/>
        </w:rPr>
      </w:pPr>
      <w:r w:rsidRPr="0087538C">
        <w:rPr>
          <w:rFonts w:ascii="Cambria" w:hAnsi="Cambria"/>
          <w:b/>
          <w:bCs/>
          <w:color w:val="auto"/>
          <w:sz w:val="28"/>
          <w:szCs w:val="28"/>
        </w:rPr>
        <w:t>4. Conclusión</w:t>
      </w:r>
    </w:p>
    <w:p w14:paraId="3DB0F94E" w14:textId="77777777" w:rsidR="00A22E47" w:rsidRPr="0087538C" w:rsidRDefault="00A22E47" w:rsidP="0087538C">
      <w:pPr>
        <w:jc w:val="both"/>
        <w:rPr>
          <w:rFonts w:ascii="Cambria" w:hAnsi="Cambria"/>
        </w:rPr>
      </w:pPr>
      <w:r w:rsidRPr="0087538C">
        <w:rPr>
          <w:rFonts w:ascii="Cambria" w:hAnsi="Cambria"/>
        </w:rPr>
        <w:t>El sistema multilateral ha evolucionado desde un acuerdo provisional de aranceles (GATT 47) a una organización global (OMC) con reglas complejas. Aunque la función negociadora tradicional (Rondas completas) se ha estancado, se han logrado avances significativos mediante acuerdos específicos (Facilitación, Tecnología, Pesca) en las últimas Conferencias Ministeriales, enfrentando retos como la reforma institucional y el bloqueo del Órgano de Apelación.</w:t>
      </w:r>
    </w:p>
    <w:p w14:paraId="142E5506" w14:textId="77777777" w:rsidR="00A65383" w:rsidRPr="0087538C" w:rsidRDefault="00A65383" w:rsidP="0087538C">
      <w:pPr>
        <w:jc w:val="both"/>
        <w:rPr>
          <w:rFonts w:ascii="Cambria" w:hAnsi="Cambria"/>
        </w:rPr>
      </w:pPr>
    </w:p>
    <w:sectPr w:rsidR="00A65383" w:rsidRPr="0087538C">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975A1" w14:textId="77777777" w:rsidR="00A22E47" w:rsidRDefault="00A22E47" w:rsidP="00A22E47">
      <w:pPr>
        <w:spacing w:after="0" w:line="240" w:lineRule="auto"/>
      </w:pPr>
      <w:r>
        <w:separator/>
      </w:r>
    </w:p>
  </w:endnote>
  <w:endnote w:type="continuationSeparator" w:id="0">
    <w:p w14:paraId="2BBE6712" w14:textId="77777777" w:rsidR="00A22E47" w:rsidRDefault="00A22E47" w:rsidP="00A22E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E3581" w14:textId="77777777" w:rsidR="00A22E47" w:rsidRDefault="00A22E47" w:rsidP="00A22E47">
      <w:pPr>
        <w:spacing w:after="0" w:line="240" w:lineRule="auto"/>
      </w:pPr>
      <w:r>
        <w:separator/>
      </w:r>
    </w:p>
  </w:footnote>
  <w:footnote w:type="continuationSeparator" w:id="0">
    <w:p w14:paraId="34884945" w14:textId="77777777" w:rsidR="00A22E47" w:rsidRDefault="00A22E47" w:rsidP="00A22E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C4369" w14:textId="0FDAEA9E" w:rsidR="00A22E47" w:rsidRPr="00A22E47" w:rsidRDefault="00A22E47" w:rsidP="00A22E47">
    <w:pPr>
      <w:pStyle w:val="Encabezado"/>
      <w:jc w:val="both"/>
      <w:rPr>
        <w:rFonts w:ascii="Palatino Linotype" w:hAnsi="Palatino Linotype"/>
        <w:i/>
        <w:iCs/>
      </w:rPr>
    </w:pPr>
    <w:r w:rsidRPr="00A22E47">
      <w:rPr>
        <w:rFonts w:ascii="Palatino Linotype" w:hAnsi="Palatino Linotype"/>
        <w:b/>
        <w:bCs/>
        <w:i/>
        <w:iCs/>
      </w:rPr>
      <w:t>TEMA 38 -</w:t>
    </w:r>
    <w:r w:rsidRPr="00A22E47">
      <w:rPr>
        <w:rFonts w:ascii="Palatino Linotype" w:hAnsi="Palatino Linotype"/>
        <w:i/>
        <w:iCs/>
      </w:rPr>
      <w:t xml:space="preserve"> Las negociaciones comerciales multilaterales: la evolución del sistema de comercio multilateral. Antecedentes históricos: el GATT. Reglas principales del GATT. Las Rondas de negociación comercial.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A3186"/>
    <w:multiLevelType w:val="multilevel"/>
    <w:tmpl w:val="3ACC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619DC"/>
    <w:multiLevelType w:val="multilevel"/>
    <w:tmpl w:val="9E021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E44885"/>
    <w:multiLevelType w:val="multilevel"/>
    <w:tmpl w:val="9DDA4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03315E"/>
    <w:multiLevelType w:val="multilevel"/>
    <w:tmpl w:val="39DE7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767C5C"/>
    <w:multiLevelType w:val="multilevel"/>
    <w:tmpl w:val="75AA5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4857A4"/>
    <w:multiLevelType w:val="multilevel"/>
    <w:tmpl w:val="FF5C0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4025C7"/>
    <w:multiLevelType w:val="multilevel"/>
    <w:tmpl w:val="0E88E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F26EA9"/>
    <w:multiLevelType w:val="multilevel"/>
    <w:tmpl w:val="4AB0C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113178"/>
    <w:multiLevelType w:val="multilevel"/>
    <w:tmpl w:val="F05E0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F809BE"/>
    <w:multiLevelType w:val="multilevel"/>
    <w:tmpl w:val="BFC6A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8774760">
    <w:abstractNumId w:val="3"/>
  </w:num>
  <w:num w:numId="2" w16cid:durableId="988171891">
    <w:abstractNumId w:val="8"/>
  </w:num>
  <w:num w:numId="3" w16cid:durableId="1259631083">
    <w:abstractNumId w:val="4"/>
  </w:num>
  <w:num w:numId="4" w16cid:durableId="1051684894">
    <w:abstractNumId w:val="0"/>
  </w:num>
  <w:num w:numId="5" w16cid:durableId="670448378">
    <w:abstractNumId w:val="1"/>
  </w:num>
  <w:num w:numId="6" w16cid:durableId="979186296">
    <w:abstractNumId w:val="5"/>
  </w:num>
  <w:num w:numId="7" w16cid:durableId="1344044800">
    <w:abstractNumId w:val="9"/>
  </w:num>
  <w:num w:numId="8" w16cid:durableId="700013678">
    <w:abstractNumId w:val="7"/>
  </w:num>
  <w:num w:numId="9" w16cid:durableId="883756288">
    <w:abstractNumId w:val="2"/>
  </w:num>
  <w:num w:numId="10" w16cid:durableId="115942076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E47"/>
    <w:rsid w:val="001B78A9"/>
    <w:rsid w:val="001E58AE"/>
    <w:rsid w:val="002C769B"/>
    <w:rsid w:val="00356943"/>
    <w:rsid w:val="003A7C84"/>
    <w:rsid w:val="005803BC"/>
    <w:rsid w:val="007D372B"/>
    <w:rsid w:val="0087538C"/>
    <w:rsid w:val="00A22E47"/>
    <w:rsid w:val="00A65383"/>
    <w:rsid w:val="00A8675C"/>
    <w:rsid w:val="00C12CF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62842"/>
  <w15:chartTrackingRefBased/>
  <w15:docId w15:val="{7DE7D2F8-45DD-4FBA-ACD6-3A783D643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22E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22E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22E4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22E4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22E4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22E4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22E4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22E4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22E4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8675C"/>
    <w:pPr>
      <w:ind w:left="720"/>
      <w:contextualSpacing/>
    </w:pPr>
  </w:style>
  <w:style w:type="character" w:customStyle="1" w:styleId="Ttulo1Car">
    <w:name w:val="Título 1 Car"/>
    <w:basedOn w:val="Fuentedeprrafopredeter"/>
    <w:link w:val="Ttulo1"/>
    <w:uiPriority w:val="9"/>
    <w:rsid w:val="00A22E4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22E4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22E4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22E4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22E4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22E4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22E4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22E4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22E47"/>
    <w:rPr>
      <w:rFonts w:eastAsiaTheme="majorEastAsia" w:cstheme="majorBidi"/>
      <w:color w:val="272727" w:themeColor="text1" w:themeTint="D8"/>
    </w:rPr>
  </w:style>
  <w:style w:type="paragraph" w:styleId="Ttulo">
    <w:name w:val="Title"/>
    <w:basedOn w:val="Normal"/>
    <w:next w:val="Normal"/>
    <w:link w:val="TtuloCar"/>
    <w:uiPriority w:val="10"/>
    <w:qFormat/>
    <w:rsid w:val="00A22E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22E4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22E4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22E4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22E47"/>
    <w:pPr>
      <w:spacing w:before="160"/>
      <w:jc w:val="center"/>
    </w:pPr>
    <w:rPr>
      <w:i/>
      <w:iCs/>
      <w:color w:val="404040" w:themeColor="text1" w:themeTint="BF"/>
    </w:rPr>
  </w:style>
  <w:style w:type="character" w:customStyle="1" w:styleId="CitaCar">
    <w:name w:val="Cita Car"/>
    <w:basedOn w:val="Fuentedeprrafopredeter"/>
    <w:link w:val="Cita"/>
    <w:uiPriority w:val="29"/>
    <w:rsid w:val="00A22E47"/>
    <w:rPr>
      <w:i/>
      <w:iCs/>
      <w:color w:val="404040" w:themeColor="text1" w:themeTint="BF"/>
    </w:rPr>
  </w:style>
  <w:style w:type="character" w:styleId="nfasisintenso">
    <w:name w:val="Intense Emphasis"/>
    <w:basedOn w:val="Fuentedeprrafopredeter"/>
    <w:uiPriority w:val="21"/>
    <w:qFormat/>
    <w:rsid w:val="00A22E47"/>
    <w:rPr>
      <w:i/>
      <w:iCs/>
      <w:color w:val="0F4761" w:themeColor="accent1" w:themeShade="BF"/>
    </w:rPr>
  </w:style>
  <w:style w:type="paragraph" w:styleId="Citadestacada">
    <w:name w:val="Intense Quote"/>
    <w:basedOn w:val="Normal"/>
    <w:next w:val="Normal"/>
    <w:link w:val="CitadestacadaCar"/>
    <w:uiPriority w:val="30"/>
    <w:qFormat/>
    <w:rsid w:val="00A22E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22E47"/>
    <w:rPr>
      <w:i/>
      <w:iCs/>
      <w:color w:val="0F4761" w:themeColor="accent1" w:themeShade="BF"/>
    </w:rPr>
  </w:style>
  <w:style w:type="character" w:styleId="Referenciaintensa">
    <w:name w:val="Intense Reference"/>
    <w:basedOn w:val="Fuentedeprrafopredeter"/>
    <w:uiPriority w:val="32"/>
    <w:qFormat/>
    <w:rsid w:val="00A22E47"/>
    <w:rPr>
      <w:b/>
      <w:bCs/>
      <w:smallCaps/>
      <w:color w:val="0F4761" w:themeColor="accent1" w:themeShade="BF"/>
      <w:spacing w:val="5"/>
    </w:rPr>
  </w:style>
  <w:style w:type="paragraph" w:styleId="Encabezado">
    <w:name w:val="header"/>
    <w:basedOn w:val="Normal"/>
    <w:link w:val="EncabezadoCar"/>
    <w:uiPriority w:val="99"/>
    <w:unhideWhenUsed/>
    <w:rsid w:val="00A22E4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22E47"/>
  </w:style>
  <w:style w:type="paragraph" w:styleId="Piedepgina">
    <w:name w:val="footer"/>
    <w:basedOn w:val="Normal"/>
    <w:link w:val="PiedepginaCar"/>
    <w:uiPriority w:val="99"/>
    <w:unhideWhenUsed/>
    <w:rsid w:val="00A22E4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22E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4</Pages>
  <Words>1004</Words>
  <Characters>5523</Characters>
  <Application>Microsoft Office Word</Application>
  <DocSecurity>0</DocSecurity>
  <Lines>46</Lines>
  <Paragraphs>13</Paragraphs>
  <ScaleCrop>false</ScaleCrop>
  <Company/>
  <LinksUpToDate>false</LinksUpToDate>
  <CharactersWithSpaces>6514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Argudo Santiago, Sergio</dc:creator>
  <cp:keywords/>
  <dc:description/>
  <cp:lastModifiedBy>Argudo Santiago, Sergio</cp:lastModifiedBy>
  <cp:revision>4</cp:revision>
  <dcterms:created xsi:type="dcterms:W3CDTF">2025-11-24T12:05:00Z</dcterms:created>
  <dcterms:modified xsi:type="dcterms:W3CDTF">2026-01-14T14:30:00Z</dcterms:modified>
</cp:coreProperties>
</file>