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9B43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1. Introducción y Antecedentes</w:t>
      </w:r>
    </w:p>
    <w:p w14:paraId="3B1E4FF4" w14:textId="77777777" w:rsidR="0006773F" w:rsidRPr="00CC4E7B" w:rsidRDefault="0006773F" w:rsidP="00CC4E7B">
      <w:pPr>
        <w:numPr>
          <w:ilvl w:val="0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Origen del Sistema Multilateral:</w:t>
      </w:r>
    </w:p>
    <w:p w14:paraId="14EE0BB9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Tras la II Guerra Mundial, se buscó crear un orden económico liberal (Conferencia de Bretton Woods, 1944). Se crearon el FMI y el Banco Mundial.</w:t>
      </w:r>
    </w:p>
    <w:p w14:paraId="0B448802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El intento de crear una Organización Internacional de Comercio (OIC) fracasó (Carta de La Habana no ratificada por EE. UU.).</w:t>
      </w:r>
    </w:p>
    <w:p w14:paraId="5F22795C" w14:textId="77777777" w:rsidR="0006773F" w:rsidRPr="00CC4E7B" w:rsidRDefault="0006773F" w:rsidP="00CC4E7B">
      <w:pPr>
        <w:numPr>
          <w:ilvl w:val="0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El GATT de 1947:</w:t>
      </w:r>
    </w:p>
    <w:p w14:paraId="4896A6F2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Acuerdo General sobre Aranceles Aduaneros y Comercio.</w:t>
      </w:r>
    </w:p>
    <w:p w14:paraId="568F7AAA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 xml:space="preserve">Entró en vigor el 1 de enero de 1948 con carácter </w:t>
      </w:r>
      <w:r w:rsidRPr="00CC4E7B">
        <w:rPr>
          <w:rFonts w:ascii="Cambria" w:hAnsi="Cambria"/>
          <w:u w:val="single"/>
        </w:rPr>
        <w:t>provisional.</w:t>
      </w:r>
    </w:p>
    <w:p w14:paraId="5961A30C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Objetivo inicial: Reducción y consolidación de aranceles.</w:t>
      </w:r>
    </w:p>
    <w:p w14:paraId="11B8F4A7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Características: Flexibilidad y pragmatismo.</w:t>
      </w:r>
    </w:p>
    <w:p w14:paraId="7F8E76B7" w14:textId="77777777" w:rsidR="0006773F" w:rsidRPr="00CC4E7B" w:rsidRDefault="0006773F" w:rsidP="00CC4E7B">
      <w:pPr>
        <w:numPr>
          <w:ilvl w:val="0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Creación de la OMC:</w:t>
      </w:r>
    </w:p>
    <w:p w14:paraId="176D58B2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Resultado de la Ronda Uruguay (1986-1994).</w:t>
      </w:r>
    </w:p>
    <w:p w14:paraId="58F07536" w14:textId="277C8B9B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Establecida e</w:t>
      </w:r>
      <w:r w:rsidR="0056592E" w:rsidRPr="00CC4E7B">
        <w:rPr>
          <w:rFonts w:ascii="Cambria" w:hAnsi="Cambria"/>
        </w:rPr>
        <w:t xml:space="preserve">n </w:t>
      </w:r>
      <w:r w:rsidRPr="00CC4E7B">
        <w:rPr>
          <w:rFonts w:ascii="Cambria" w:hAnsi="Cambria"/>
        </w:rPr>
        <w:t>1995 mediante el Acuerdo de Marrakech.</w:t>
      </w:r>
    </w:p>
    <w:p w14:paraId="1BCD7C93" w14:textId="77777777" w:rsidR="0006773F" w:rsidRPr="00CC4E7B" w:rsidRDefault="0006773F" w:rsidP="00CC4E7B">
      <w:pPr>
        <w:numPr>
          <w:ilvl w:val="1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Diferencias GATT vs. OMC:</w:t>
      </w:r>
    </w:p>
    <w:p w14:paraId="3530D2B8" w14:textId="77777777" w:rsidR="0006773F" w:rsidRPr="00CC4E7B" w:rsidRDefault="0006773F" w:rsidP="00CC4E7B">
      <w:pPr>
        <w:numPr>
          <w:ilvl w:val="2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El GATT era un acuerdo sin base institucional; la OMC es una organización permanente.</w:t>
      </w:r>
    </w:p>
    <w:p w14:paraId="2D10A2FA" w14:textId="77777777" w:rsidR="0006773F" w:rsidRPr="00CC4E7B" w:rsidRDefault="0006773F" w:rsidP="00CC4E7B">
      <w:pPr>
        <w:numPr>
          <w:ilvl w:val="2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La OMC abarca, además de mercancías, el comercio de servicios y la propiedad intelectual.</w:t>
      </w:r>
    </w:p>
    <w:p w14:paraId="72492B42" w14:textId="77777777" w:rsidR="0006773F" w:rsidRPr="00CC4E7B" w:rsidRDefault="0006773F" w:rsidP="00CC4E7B">
      <w:pPr>
        <w:numPr>
          <w:ilvl w:val="2"/>
          <w:numId w:val="1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Sistema de Solución de Diferencias reforzado y vinculante.</w:t>
      </w:r>
    </w:p>
    <w:p w14:paraId="7C0D6607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2. El Sistema de la OMC</w:t>
      </w:r>
    </w:p>
    <w:p w14:paraId="29101FD8" w14:textId="77777777" w:rsidR="0006773F" w:rsidRPr="00CC4E7B" w:rsidRDefault="0006773F" w:rsidP="00CC4E7B">
      <w:pPr>
        <w:jc w:val="both"/>
        <w:rPr>
          <w:rFonts w:ascii="Cambria" w:hAnsi="Cambria"/>
        </w:rPr>
      </w:pPr>
      <w:r w:rsidRPr="00CC4E7B">
        <w:rPr>
          <w:rFonts w:ascii="Cambria" w:hAnsi="Cambria"/>
        </w:rPr>
        <w:t>Es un sistema multilateral basado en normas negociadas por consenso.</w:t>
      </w:r>
    </w:p>
    <w:p w14:paraId="6AA25A56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t>2.1. Acuerdos Principales (Resultados Ronda Uruguay)</w:t>
      </w:r>
    </w:p>
    <w:p w14:paraId="71709046" w14:textId="77777777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Acuerdo de Marrakech:</w:t>
      </w:r>
      <w:r w:rsidRPr="00CC4E7B">
        <w:rPr>
          <w:rFonts w:ascii="Cambria" w:hAnsi="Cambria"/>
        </w:rPr>
        <w:t xml:space="preserve"> Constitutivo de la OMC.</w:t>
      </w:r>
    </w:p>
    <w:p w14:paraId="065BB103" w14:textId="5D860892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Anexo 1A (Mercancías):</w:t>
      </w:r>
      <w:r w:rsidRPr="00CC4E7B">
        <w:rPr>
          <w:rFonts w:ascii="Cambria" w:hAnsi="Cambria"/>
        </w:rPr>
        <w:t xml:space="preserve"> GATT 1994 + Acuerdos específicos (Agricultura, Textiles, Antidumping, Subvenciones, Facilitación del Comercio</w:t>
      </w:r>
      <w:r w:rsidR="0056592E" w:rsidRPr="00CC4E7B">
        <w:rPr>
          <w:rFonts w:ascii="Cambria" w:hAnsi="Cambria"/>
        </w:rPr>
        <w:t>..</w:t>
      </w:r>
      <w:r w:rsidRPr="00CC4E7B">
        <w:rPr>
          <w:rFonts w:ascii="Cambria" w:hAnsi="Cambria"/>
        </w:rPr>
        <w:t>.</w:t>
      </w:r>
      <w:r w:rsidR="0056592E" w:rsidRPr="00CC4E7B">
        <w:rPr>
          <w:rFonts w:ascii="Cambria" w:hAnsi="Cambria"/>
        </w:rPr>
        <w:t>)</w:t>
      </w:r>
    </w:p>
    <w:p w14:paraId="06A28301" w14:textId="77777777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Anexo 1B (Servicios):</w:t>
      </w:r>
      <w:r w:rsidRPr="00CC4E7B">
        <w:rPr>
          <w:rFonts w:ascii="Cambria" w:hAnsi="Cambria"/>
        </w:rPr>
        <w:t xml:space="preserve"> Acuerdo General sobre el Comercio de Servicios (GATS).</w:t>
      </w:r>
    </w:p>
    <w:p w14:paraId="238878B5" w14:textId="77777777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lastRenderedPageBreak/>
        <w:t>Anexo 1C (Propiedad Intelectual):</w:t>
      </w:r>
      <w:r w:rsidRPr="00CC4E7B">
        <w:rPr>
          <w:rFonts w:ascii="Cambria" w:hAnsi="Cambria"/>
        </w:rPr>
        <w:t xml:space="preserve"> Acuerdo sobre los Aspectos de los Derechos de Propiedad Intelectual relacionados con el Comercio (ADPIC/TRIPS).</w:t>
      </w:r>
    </w:p>
    <w:p w14:paraId="458B8C33" w14:textId="77777777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Anexo 2:</w:t>
      </w:r>
      <w:r w:rsidRPr="00CC4E7B">
        <w:rPr>
          <w:rFonts w:ascii="Cambria" w:hAnsi="Cambria"/>
        </w:rPr>
        <w:t xml:space="preserve"> Entendimiento sobre Solución de Diferencias.</w:t>
      </w:r>
    </w:p>
    <w:p w14:paraId="158E4F34" w14:textId="77777777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Anexo 3:</w:t>
      </w:r>
      <w:r w:rsidRPr="00CC4E7B">
        <w:rPr>
          <w:rFonts w:ascii="Cambria" w:hAnsi="Cambria"/>
        </w:rPr>
        <w:t xml:space="preserve"> Mecanismo de Examen de las Políticas Comerciales.</w:t>
      </w:r>
    </w:p>
    <w:p w14:paraId="0F814D18" w14:textId="77777777" w:rsidR="0006773F" w:rsidRPr="00CC4E7B" w:rsidRDefault="0006773F" w:rsidP="00CC4E7B">
      <w:pPr>
        <w:numPr>
          <w:ilvl w:val="0"/>
          <w:numId w:val="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Anexo 4 (Acuerdos Plurilaterales):</w:t>
      </w:r>
      <w:r w:rsidRPr="00CC4E7B">
        <w:rPr>
          <w:rFonts w:ascii="Cambria" w:hAnsi="Cambria"/>
        </w:rPr>
        <w:t xml:space="preserve"> Solo obligan a los firmantes (Aeronaves Civiles, Contratación Pública).</w:t>
      </w:r>
    </w:p>
    <w:p w14:paraId="6E7744F8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t>2.2. Principios Fundamentales</w:t>
      </w:r>
    </w:p>
    <w:p w14:paraId="709DC139" w14:textId="77777777" w:rsidR="0006773F" w:rsidRPr="00CC4E7B" w:rsidRDefault="0006773F" w:rsidP="00CC4E7B">
      <w:pPr>
        <w:numPr>
          <w:ilvl w:val="0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No Discriminación:</w:t>
      </w:r>
    </w:p>
    <w:p w14:paraId="6F0A8D88" w14:textId="77777777" w:rsidR="0006773F" w:rsidRPr="00CC4E7B" w:rsidRDefault="0006773F" w:rsidP="00CC4E7B">
      <w:pPr>
        <w:numPr>
          <w:ilvl w:val="1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Nación Más Favorecida (NMF):</w:t>
      </w:r>
      <w:r w:rsidRPr="00CC4E7B">
        <w:rPr>
          <w:rFonts w:ascii="Cambria" w:hAnsi="Cambria"/>
        </w:rPr>
        <w:t xml:space="preserve"> Trato igualitario entre interlocutores comerciales.</w:t>
      </w:r>
    </w:p>
    <w:p w14:paraId="02E494EB" w14:textId="77777777" w:rsidR="0006773F" w:rsidRPr="00CC4E7B" w:rsidRDefault="0006773F" w:rsidP="00CC4E7B">
      <w:pPr>
        <w:numPr>
          <w:ilvl w:val="1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Trato Nacional:</w:t>
      </w:r>
      <w:r w:rsidRPr="00CC4E7B">
        <w:rPr>
          <w:rFonts w:ascii="Cambria" w:hAnsi="Cambria"/>
        </w:rPr>
        <w:t xml:space="preserve"> Igualdad de trato entre productos/servicios nacionales y extranjeros una vez dentro del mercado.</w:t>
      </w:r>
    </w:p>
    <w:p w14:paraId="1631AE40" w14:textId="77777777" w:rsidR="0006773F" w:rsidRPr="00CC4E7B" w:rsidRDefault="0006773F" w:rsidP="00CC4E7B">
      <w:pPr>
        <w:numPr>
          <w:ilvl w:val="0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Comercio más libre:</w:t>
      </w:r>
      <w:r w:rsidRPr="00CC4E7B">
        <w:rPr>
          <w:rFonts w:ascii="Cambria" w:hAnsi="Cambria"/>
        </w:rPr>
        <w:t xml:space="preserve"> Reducción gradual de obstáculos mediante negociación.</w:t>
      </w:r>
    </w:p>
    <w:p w14:paraId="0AF68D8B" w14:textId="77777777" w:rsidR="0006773F" w:rsidRPr="00CC4E7B" w:rsidRDefault="0006773F" w:rsidP="00CC4E7B">
      <w:pPr>
        <w:numPr>
          <w:ilvl w:val="0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Previsibilidad:</w:t>
      </w:r>
      <w:r w:rsidRPr="00CC4E7B">
        <w:rPr>
          <w:rFonts w:ascii="Cambria" w:hAnsi="Cambria"/>
        </w:rPr>
        <w:t xml:space="preserve"> Mediante la consolidación de aranceles y transparencia normativa.</w:t>
      </w:r>
    </w:p>
    <w:p w14:paraId="2FA0D222" w14:textId="77777777" w:rsidR="0006773F" w:rsidRPr="00CC4E7B" w:rsidRDefault="0006773F" w:rsidP="00CC4E7B">
      <w:pPr>
        <w:numPr>
          <w:ilvl w:val="0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Fomento de una competencia leal:</w:t>
      </w:r>
      <w:r w:rsidRPr="00CC4E7B">
        <w:rPr>
          <w:rFonts w:ascii="Cambria" w:hAnsi="Cambria"/>
        </w:rPr>
        <w:t xml:space="preserve"> Reglas contra el dumping y subvenciones distorsionadoras.</w:t>
      </w:r>
    </w:p>
    <w:p w14:paraId="47AA2483" w14:textId="718E44C9" w:rsidR="0006773F" w:rsidRPr="00CC4E7B" w:rsidRDefault="0006773F" w:rsidP="00CC4E7B">
      <w:pPr>
        <w:numPr>
          <w:ilvl w:val="0"/>
          <w:numId w:val="3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Promoción del desarrollo:</w:t>
      </w:r>
      <w:r w:rsidRPr="00CC4E7B">
        <w:rPr>
          <w:rFonts w:ascii="Cambria" w:hAnsi="Cambria"/>
        </w:rPr>
        <w:t xml:space="preserve"> Flexibilidad y periodos de transición para PED</w:t>
      </w:r>
      <w:r w:rsidR="000D3383" w:rsidRPr="00CC4E7B">
        <w:rPr>
          <w:rFonts w:ascii="Cambria" w:hAnsi="Cambria"/>
        </w:rPr>
        <w:t xml:space="preserve"> </w:t>
      </w:r>
      <w:r w:rsidRPr="00CC4E7B">
        <w:rPr>
          <w:rFonts w:ascii="Cambria" w:hAnsi="Cambria"/>
        </w:rPr>
        <w:t>y PMA.</w:t>
      </w:r>
    </w:p>
    <w:p w14:paraId="65479E56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3. Objetivos y Funciones</w:t>
      </w:r>
    </w:p>
    <w:p w14:paraId="079246E7" w14:textId="77777777" w:rsidR="0006773F" w:rsidRPr="00CC4E7B" w:rsidRDefault="0006773F" w:rsidP="00CC4E7B">
      <w:pPr>
        <w:numPr>
          <w:ilvl w:val="0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Objetivo Principal:</w:t>
      </w:r>
      <w:r w:rsidRPr="00CC4E7B">
        <w:rPr>
          <w:rFonts w:ascii="Cambria" w:hAnsi="Cambria"/>
        </w:rPr>
        <w:t xml:space="preserve"> Mejorar el nivel de bienestar, lograr el pleno empleo, aumentar los ingresos reales y la demanda, e incrementar la producción y el comercio, bajo el principio de desarrollo sostenible.</w:t>
      </w:r>
    </w:p>
    <w:p w14:paraId="11B6B07C" w14:textId="77777777" w:rsidR="0006773F" w:rsidRPr="00CC4E7B" w:rsidRDefault="0006773F" w:rsidP="00CC4E7B">
      <w:pPr>
        <w:numPr>
          <w:ilvl w:val="0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Funciones (Art. III del Acuerdo):</w:t>
      </w:r>
    </w:p>
    <w:p w14:paraId="289D511A" w14:textId="77777777" w:rsidR="0006773F" w:rsidRPr="00CC4E7B" w:rsidRDefault="0006773F" w:rsidP="00CC4E7B">
      <w:pPr>
        <w:numPr>
          <w:ilvl w:val="1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Administrar los acuerdos comerciales.</w:t>
      </w:r>
    </w:p>
    <w:p w14:paraId="363D13EF" w14:textId="77777777" w:rsidR="0006773F" w:rsidRPr="00CC4E7B" w:rsidRDefault="0006773F" w:rsidP="00CC4E7B">
      <w:pPr>
        <w:numPr>
          <w:ilvl w:val="1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Servir de foro para negociaciones comerciales.</w:t>
      </w:r>
    </w:p>
    <w:p w14:paraId="60328838" w14:textId="77777777" w:rsidR="0006773F" w:rsidRPr="00CC4E7B" w:rsidRDefault="0006773F" w:rsidP="00CC4E7B">
      <w:pPr>
        <w:numPr>
          <w:ilvl w:val="1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Administrar el mecanismo de solución de diferencias.</w:t>
      </w:r>
    </w:p>
    <w:p w14:paraId="0DA0C8BA" w14:textId="77777777" w:rsidR="0006773F" w:rsidRPr="00CC4E7B" w:rsidRDefault="0006773F" w:rsidP="00CC4E7B">
      <w:pPr>
        <w:numPr>
          <w:ilvl w:val="1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Administrar el mecanismo de examen de políticas comerciales.</w:t>
      </w:r>
    </w:p>
    <w:p w14:paraId="6C414F20" w14:textId="7F73690F" w:rsidR="0006773F" w:rsidRPr="00CC4E7B" w:rsidRDefault="0006773F" w:rsidP="00CC4E7B">
      <w:pPr>
        <w:numPr>
          <w:ilvl w:val="1"/>
          <w:numId w:val="4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 xml:space="preserve">Cooperar con el FMI y el </w:t>
      </w:r>
      <w:r w:rsidR="0056592E" w:rsidRPr="00CC4E7B">
        <w:rPr>
          <w:rFonts w:ascii="Cambria" w:hAnsi="Cambria"/>
        </w:rPr>
        <w:t>BM</w:t>
      </w:r>
      <w:r w:rsidRPr="00CC4E7B">
        <w:rPr>
          <w:rFonts w:ascii="Cambria" w:hAnsi="Cambria"/>
        </w:rPr>
        <w:t xml:space="preserve"> para la coherencia económica global.</w:t>
      </w:r>
    </w:p>
    <w:p w14:paraId="20856A60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lastRenderedPageBreak/>
        <w:t>4. Estructura Institucional</w:t>
      </w:r>
    </w:p>
    <w:p w14:paraId="394EA025" w14:textId="77777777" w:rsidR="0006773F" w:rsidRPr="00CC4E7B" w:rsidRDefault="0006773F" w:rsidP="00CC4E7B">
      <w:pPr>
        <w:jc w:val="both"/>
        <w:rPr>
          <w:rFonts w:ascii="Cambria" w:hAnsi="Cambria"/>
        </w:rPr>
      </w:pPr>
      <w:r w:rsidRPr="00CC4E7B">
        <w:rPr>
          <w:rFonts w:ascii="Cambria" w:hAnsi="Cambria"/>
        </w:rPr>
        <w:t>La OMC es dirigida por sus Miembros (166 países actualmente).</w:t>
      </w:r>
    </w:p>
    <w:p w14:paraId="186278EC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t>4.1. Conferencia Ministerial (Nivel 1)</w:t>
      </w:r>
    </w:p>
    <w:p w14:paraId="14C5A22B" w14:textId="77777777" w:rsidR="0006773F" w:rsidRPr="00CC4E7B" w:rsidRDefault="0006773F" w:rsidP="00CC4E7B">
      <w:pPr>
        <w:numPr>
          <w:ilvl w:val="0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Máxima autoridad. Se reúne al menos cada 2 años.</w:t>
      </w:r>
    </w:p>
    <w:p w14:paraId="7CEB1A71" w14:textId="77777777" w:rsidR="0006773F" w:rsidRPr="00CC4E7B" w:rsidRDefault="0006773F" w:rsidP="00CC4E7B">
      <w:pPr>
        <w:numPr>
          <w:ilvl w:val="0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Hitos de las Conferencias:</w:t>
      </w:r>
    </w:p>
    <w:p w14:paraId="6262648C" w14:textId="03D53F8B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Singapur (1996):</w:t>
      </w:r>
      <w:r w:rsidRPr="00CC4E7B">
        <w:rPr>
          <w:rFonts w:ascii="Cambria" w:hAnsi="Cambria"/>
        </w:rPr>
        <w:t xml:space="preserve"> Introducción de los </w:t>
      </w:r>
      <w:r w:rsidRPr="00CC4E7B">
        <w:rPr>
          <w:rFonts w:ascii="Cambria" w:hAnsi="Cambria"/>
          <w:u w:val="single"/>
        </w:rPr>
        <w:t>Temas de Singapur</w:t>
      </w:r>
      <w:r w:rsidR="000D3383" w:rsidRPr="00CC4E7B">
        <w:rPr>
          <w:rFonts w:ascii="Cambria" w:hAnsi="Cambria"/>
        </w:rPr>
        <w:t xml:space="preserve"> </w:t>
      </w:r>
      <w:r w:rsidRPr="00CC4E7B">
        <w:rPr>
          <w:rFonts w:ascii="Cambria" w:hAnsi="Cambria"/>
        </w:rPr>
        <w:t>(Inversiones, Competencia, Transparencia, Facilitación).</w:t>
      </w:r>
    </w:p>
    <w:p w14:paraId="73B846AB" w14:textId="58CA419D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Doha (2001):</w:t>
      </w:r>
      <w:r w:rsidRPr="00CC4E7B">
        <w:rPr>
          <w:rFonts w:ascii="Cambria" w:hAnsi="Cambria"/>
        </w:rPr>
        <w:t xml:space="preserve"> Lanzamiento del </w:t>
      </w:r>
      <w:r w:rsidRPr="00CC4E7B">
        <w:rPr>
          <w:rFonts w:ascii="Cambria" w:hAnsi="Cambria"/>
          <w:u w:val="single"/>
        </w:rPr>
        <w:t>Programa de Doha</w:t>
      </w:r>
      <w:r w:rsidR="000D3383" w:rsidRPr="00CC4E7B">
        <w:rPr>
          <w:rFonts w:ascii="Cambria" w:hAnsi="Cambria"/>
          <w:u w:val="single"/>
        </w:rPr>
        <w:t>.</w:t>
      </w:r>
    </w:p>
    <w:p w14:paraId="7F7BF8F7" w14:textId="77777777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Bali (2013):</w:t>
      </w:r>
      <w:r w:rsidRPr="00CC4E7B">
        <w:rPr>
          <w:rFonts w:ascii="Cambria" w:hAnsi="Cambria"/>
        </w:rPr>
        <w:t xml:space="preserve"> Aprobación del </w:t>
      </w:r>
      <w:r w:rsidRPr="00CC4E7B">
        <w:rPr>
          <w:rFonts w:ascii="Cambria" w:hAnsi="Cambria"/>
          <w:u w:val="single"/>
        </w:rPr>
        <w:t xml:space="preserve">Acuerdo sobre Facilitación del Comercio </w:t>
      </w:r>
      <w:r w:rsidRPr="00CC4E7B">
        <w:rPr>
          <w:rFonts w:ascii="Cambria" w:hAnsi="Cambria"/>
        </w:rPr>
        <w:t>(primer acuerdo multilateral de la OMC) y decisiones sobre agricultura (seguridad alimentaria) y desarrollo.</w:t>
      </w:r>
    </w:p>
    <w:p w14:paraId="520B1CD5" w14:textId="6E01519C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Nairobi (2015):</w:t>
      </w:r>
      <w:r w:rsidRPr="00CC4E7B">
        <w:rPr>
          <w:rFonts w:ascii="Cambria" w:hAnsi="Cambria"/>
        </w:rPr>
        <w:t xml:space="preserve"> Eliminación de las </w:t>
      </w:r>
      <w:r w:rsidR="000D3383" w:rsidRPr="00CC4E7B">
        <w:rPr>
          <w:rFonts w:ascii="Cambria" w:hAnsi="Cambria"/>
          <w:u w:val="single"/>
        </w:rPr>
        <w:t>subvenciones a la exportación agrícola</w:t>
      </w:r>
      <w:r w:rsidR="000D3383" w:rsidRPr="00CC4E7B">
        <w:rPr>
          <w:rFonts w:ascii="Cambria" w:hAnsi="Cambria"/>
        </w:rPr>
        <w:t xml:space="preserve"> </w:t>
      </w:r>
      <w:r w:rsidRPr="00CC4E7B">
        <w:rPr>
          <w:rFonts w:ascii="Cambria" w:hAnsi="Cambria"/>
        </w:rPr>
        <w:t>y ampliación del Acuerdo de Tecnologías de la Información (ITA).</w:t>
      </w:r>
    </w:p>
    <w:p w14:paraId="0F5DF006" w14:textId="77777777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Buenos Aires (2017):</w:t>
      </w:r>
      <w:r w:rsidRPr="00CC4E7B">
        <w:rPr>
          <w:rFonts w:ascii="Cambria" w:hAnsi="Cambria"/>
        </w:rPr>
        <w:t xml:space="preserve"> Compromisos en subvenciones a la pesca y comercio electrónico.</w:t>
      </w:r>
    </w:p>
    <w:p w14:paraId="21CDC516" w14:textId="533338C0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Ginebra (2022 - CM12):</w:t>
      </w:r>
      <w:r w:rsidRPr="00CC4E7B">
        <w:rPr>
          <w:rFonts w:ascii="Cambria" w:hAnsi="Cambria"/>
        </w:rPr>
        <w:t xml:space="preserve"> Acuerdo sobre </w:t>
      </w:r>
      <w:r w:rsidRPr="00CC4E7B">
        <w:rPr>
          <w:rFonts w:ascii="Cambria" w:hAnsi="Cambria"/>
          <w:u w:val="single"/>
        </w:rPr>
        <w:t>Subvenciones a la Pesca</w:t>
      </w:r>
      <w:r w:rsidRPr="00CC4E7B">
        <w:rPr>
          <w:rFonts w:ascii="Cambria" w:hAnsi="Cambria"/>
        </w:rPr>
        <w:t xml:space="preserve"> (sostenibilidad), respuesta a la pandemia y seguridad alimentaria.</w:t>
      </w:r>
    </w:p>
    <w:p w14:paraId="6E0EAB97" w14:textId="7A23133F" w:rsidR="0006773F" w:rsidRPr="00CC4E7B" w:rsidRDefault="0006773F" w:rsidP="00CC4E7B">
      <w:pPr>
        <w:numPr>
          <w:ilvl w:val="1"/>
          <w:numId w:val="5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Abu Dabi (2024 - CM13):</w:t>
      </w:r>
      <w:r w:rsidRPr="00CC4E7B">
        <w:rPr>
          <w:rFonts w:ascii="Cambria" w:hAnsi="Cambria"/>
        </w:rPr>
        <w:t xml:space="preserve"> Adhesiones nuevas, extensión de moratoria en comercio electrónico y reforma de</w:t>
      </w:r>
      <w:r w:rsidR="0056592E" w:rsidRPr="00CC4E7B">
        <w:rPr>
          <w:rFonts w:ascii="Cambria" w:hAnsi="Cambria"/>
        </w:rPr>
        <w:t>l</w:t>
      </w:r>
      <w:r w:rsidRPr="00CC4E7B">
        <w:rPr>
          <w:rFonts w:ascii="Cambria" w:hAnsi="Cambria"/>
        </w:rPr>
        <w:t xml:space="preserve"> </w:t>
      </w:r>
      <w:r w:rsidR="0056592E" w:rsidRPr="00CC4E7B">
        <w:rPr>
          <w:rFonts w:ascii="Cambria" w:hAnsi="Cambria"/>
        </w:rPr>
        <w:t>OSD.</w:t>
      </w:r>
    </w:p>
    <w:p w14:paraId="43D9AE73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t>4.2. Consejo General (Nivel 2)</w:t>
      </w:r>
    </w:p>
    <w:p w14:paraId="11064F84" w14:textId="77777777" w:rsidR="0006773F" w:rsidRPr="00CC4E7B" w:rsidRDefault="0006773F" w:rsidP="00CC4E7B">
      <w:pPr>
        <w:numPr>
          <w:ilvl w:val="0"/>
          <w:numId w:val="6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Realiza la labor cotidiana en Ginebra (embajadores).</w:t>
      </w:r>
    </w:p>
    <w:p w14:paraId="3A253759" w14:textId="77777777" w:rsidR="0006773F" w:rsidRPr="00CC4E7B" w:rsidRDefault="0006773F" w:rsidP="00CC4E7B">
      <w:pPr>
        <w:numPr>
          <w:ilvl w:val="0"/>
          <w:numId w:val="6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Actúa también bajo dos formas específicas:</w:t>
      </w:r>
    </w:p>
    <w:p w14:paraId="40C9143E" w14:textId="77777777" w:rsidR="0006773F" w:rsidRPr="00CC4E7B" w:rsidRDefault="0006773F" w:rsidP="00CC4E7B">
      <w:pPr>
        <w:numPr>
          <w:ilvl w:val="1"/>
          <w:numId w:val="6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Órgano de Solución de Diferencias (OSD).</w:t>
      </w:r>
    </w:p>
    <w:p w14:paraId="7D1A703A" w14:textId="77777777" w:rsidR="0006773F" w:rsidRPr="00CC4E7B" w:rsidRDefault="0006773F" w:rsidP="00CC4E7B">
      <w:pPr>
        <w:numPr>
          <w:ilvl w:val="1"/>
          <w:numId w:val="6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Órgano de Examen de las Políticas Comerciales (OEPC).</w:t>
      </w:r>
    </w:p>
    <w:p w14:paraId="7A505BE0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t>4.3. Consejos Específicos (Nivel 3)</w:t>
      </w:r>
    </w:p>
    <w:p w14:paraId="77E1957C" w14:textId="77777777" w:rsidR="0006773F" w:rsidRPr="00CC4E7B" w:rsidRDefault="0006773F" w:rsidP="00CC4E7B">
      <w:pPr>
        <w:numPr>
          <w:ilvl w:val="0"/>
          <w:numId w:val="7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Consejo del Comercio de Mercancías (GATT).</w:t>
      </w:r>
    </w:p>
    <w:p w14:paraId="2430B2A8" w14:textId="77777777" w:rsidR="0006773F" w:rsidRPr="00CC4E7B" w:rsidRDefault="0006773F" w:rsidP="00CC4E7B">
      <w:pPr>
        <w:numPr>
          <w:ilvl w:val="0"/>
          <w:numId w:val="7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Consejo del Comercio de Servicios (GATS).</w:t>
      </w:r>
    </w:p>
    <w:p w14:paraId="7B428D33" w14:textId="77777777" w:rsidR="0006773F" w:rsidRPr="00CC4E7B" w:rsidRDefault="0006773F" w:rsidP="00CC4E7B">
      <w:pPr>
        <w:numPr>
          <w:ilvl w:val="0"/>
          <w:numId w:val="7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Consejo de los ADPIC (Propiedad Intelectual).</w:t>
      </w:r>
    </w:p>
    <w:p w14:paraId="432FEA3E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lastRenderedPageBreak/>
        <w:t>4.4. Comités y Grupos de Trabajo</w:t>
      </w:r>
    </w:p>
    <w:p w14:paraId="203A2B29" w14:textId="77777777" w:rsidR="0006773F" w:rsidRPr="00CC4E7B" w:rsidRDefault="0006773F" w:rsidP="00CC4E7B">
      <w:pPr>
        <w:numPr>
          <w:ilvl w:val="0"/>
          <w:numId w:val="8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Dependen del Consejo General (ej. Comercio y Desarrollo, Medio Ambiente, Adhesiones) o de los Consejos específicos (ej. Agricultura, Acceso a Mercados).</w:t>
      </w:r>
    </w:p>
    <w:p w14:paraId="7296872D" w14:textId="77777777" w:rsidR="0006773F" w:rsidRPr="00CC4E7B" w:rsidRDefault="0006773F" w:rsidP="00CC4E7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C4E7B">
        <w:rPr>
          <w:rFonts w:ascii="Cambria" w:hAnsi="Cambria"/>
          <w:b/>
          <w:bCs/>
          <w:color w:val="auto"/>
          <w:sz w:val="24"/>
          <w:szCs w:val="24"/>
        </w:rPr>
        <w:t>4.5. Secretaría</w:t>
      </w:r>
    </w:p>
    <w:p w14:paraId="13CCCDE6" w14:textId="77777777" w:rsidR="0006773F" w:rsidRPr="00CC4E7B" w:rsidRDefault="0006773F" w:rsidP="00CC4E7B">
      <w:pPr>
        <w:numPr>
          <w:ilvl w:val="0"/>
          <w:numId w:val="9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Sede en Ginebra.</w:t>
      </w:r>
    </w:p>
    <w:p w14:paraId="3303B078" w14:textId="1DEE2240" w:rsidR="0006773F" w:rsidRPr="00CC4E7B" w:rsidRDefault="0006773F" w:rsidP="00CC4E7B">
      <w:pPr>
        <w:numPr>
          <w:ilvl w:val="0"/>
          <w:numId w:val="9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Director General:</w:t>
      </w:r>
      <w:r w:rsidRPr="00CC4E7B">
        <w:rPr>
          <w:rFonts w:ascii="Cambria" w:hAnsi="Cambria"/>
        </w:rPr>
        <w:t xml:space="preserve"> Actualmente Ngozi Okonjo-Iweala</w:t>
      </w:r>
      <w:r w:rsidR="0056592E" w:rsidRPr="00CC4E7B">
        <w:rPr>
          <w:rFonts w:ascii="Cambria" w:hAnsi="Cambria"/>
        </w:rPr>
        <w:t>.</w:t>
      </w:r>
    </w:p>
    <w:p w14:paraId="2F95C31C" w14:textId="77777777" w:rsidR="0006773F" w:rsidRPr="00CC4E7B" w:rsidRDefault="0006773F" w:rsidP="00CC4E7B">
      <w:pPr>
        <w:numPr>
          <w:ilvl w:val="0"/>
          <w:numId w:val="9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Función: Apoyo técnico y administrativo, sin poder de decisión política.</w:t>
      </w:r>
    </w:p>
    <w:p w14:paraId="1F6AE902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5. Adopción de Decisiones</w:t>
      </w:r>
    </w:p>
    <w:p w14:paraId="6379B16A" w14:textId="16991270" w:rsidR="0006773F" w:rsidRPr="00CC4E7B" w:rsidRDefault="0006773F" w:rsidP="00CC4E7B">
      <w:pPr>
        <w:numPr>
          <w:ilvl w:val="0"/>
          <w:numId w:val="10"/>
        </w:numPr>
        <w:jc w:val="both"/>
        <w:rPr>
          <w:rFonts w:ascii="Cambria" w:hAnsi="Cambria"/>
        </w:rPr>
      </w:pPr>
      <w:r w:rsidRPr="00CC4E7B">
        <w:rPr>
          <w:rFonts w:ascii="Cambria" w:hAnsi="Cambria"/>
        </w:rPr>
        <w:t>Generalmente por consenso.</w:t>
      </w:r>
    </w:p>
    <w:p w14:paraId="4E98187B" w14:textId="548EEF52" w:rsidR="0006773F" w:rsidRPr="00CC4E7B" w:rsidRDefault="0006773F" w:rsidP="00CC4E7B">
      <w:pPr>
        <w:numPr>
          <w:ilvl w:val="0"/>
          <w:numId w:val="10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Votación:</w:t>
      </w:r>
      <w:r w:rsidRPr="00CC4E7B">
        <w:rPr>
          <w:rFonts w:ascii="Cambria" w:hAnsi="Cambria"/>
        </w:rPr>
        <w:t xml:space="preserve"> Posible en casos específicos (mayorías cualificadas), poco usual.</w:t>
      </w:r>
    </w:p>
    <w:p w14:paraId="3BF012E1" w14:textId="7F87135F" w:rsidR="0006773F" w:rsidRPr="00CC4E7B" w:rsidRDefault="0006773F" w:rsidP="00CC4E7B">
      <w:pPr>
        <w:numPr>
          <w:ilvl w:val="0"/>
          <w:numId w:val="10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Todo Único:</w:t>
      </w:r>
      <w:r w:rsidRPr="00CC4E7B">
        <w:rPr>
          <w:rFonts w:ascii="Cambria" w:hAnsi="Cambria"/>
        </w:rPr>
        <w:t xml:space="preserve"> En las rondas de negociación (como Doha),</w:t>
      </w:r>
      <w:r w:rsidR="000D3383" w:rsidRPr="00CC4E7B">
        <w:rPr>
          <w:rFonts w:ascii="Cambria" w:hAnsi="Cambria"/>
        </w:rPr>
        <w:t xml:space="preserve"> se cumple el</w:t>
      </w:r>
      <w:r w:rsidRPr="00CC4E7B">
        <w:rPr>
          <w:rFonts w:ascii="Cambria" w:hAnsi="Cambria"/>
        </w:rPr>
        <w:t xml:space="preserve"> "nada está acordado hasta que todo está acordado".</w:t>
      </w:r>
    </w:p>
    <w:p w14:paraId="041126AC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6. Sistema de Solución de Diferencias</w:t>
      </w:r>
    </w:p>
    <w:p w14:paraId="21053B4D" w14:textId="77777777" w:rsidR="0006773F" w:rsidRPr="00CC4E7B" w:rsidRDefault="0006773F" w:rsidP="00CC4E7B">
      <w:pPr>
        <w:jc w:val="both"/>
        <w:rPr>
          <w:rFonts w:ascii="Cambria" w:hAnsi="Cambria"/>
        </w:rPr>
      </w:pPr>
      <w:r w:rsidRPr="00CC4E7B">
        <w:rPr>
          <w:rFonts w:ascii="Cambria" w:hAnsi="Cambria"/>
        </w:rPr>
        <w:t>Garantiza el cumplimiento de las normas y aporta seguridad jurídica.</w:t>
      </w:r>
    </w:p>
    <w:p w14:paraId="60C0AFE5" w14:textId="77777777" w:rsidR="0006773F" w:rsidRPr="00CC4E7B" w:rsidRDefault="0006773F" w:rsidP="00CC4E7B">
      <w:pPr>
        <w:numPr>
          <w:ilvl w:val="0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Características:</w:t>
      </w:r>
      <w:r w:rsidRPr="00CC4E7B">
        <w:rPr>
          <w:rFonts w:ascii="Cambria" w:hAnsi="Cambria"/>
        </w:rPr>
        <w:t xml:space="preserve"> Plazos definidos, automatismo en las decisiones y carácter vinculante.</w:t>
      </w:r>
    </w:p>
    <w:p w14:paraId="5B28C380" w14:textId="43465180" w:rsidR="0006773F" w:rsidRPr="00CC4E7B" w:rsidRDefault="0006773F" w:rsidP="00CC4E7B">
      <w:pPr>
        <w:numPr>
          <w:ilvl w:val="0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Procedimiento:</w:t>
      </w:r>
    </w:p>
    <w:p w14:paraId="45E0E123" w14:textId="77777777" w:rsidR="0006773F" w:rsidRPr="00CC4E7B" w:rsidRDefault="0006773F" w:rsidP="00CC4E7B">
      <w:pPr>
        <w:numPr>
          <w:ilvl w:val="1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Consultas:</w:t>
      </w:r>
      <w:r w:rsidRPr="00CC4E7B">
        <w:rPr>
          <w:rFonts w:ascii="Cambria" w:hAnsi="Cambria"/>
        </w:rPr>
        <w:t xml:space="preserve"> Intento de arreglo bilateral (máx. 60 días).</w:t>
      </w:r>
    </w:p>
    <w:p w14:paraId="5F29DB2C" w14:textId="20749636" w:rsidR="0006773F" w:rsidRPr="00CC4E7B" w:rsidRDefault="0006773F" w:rsidP="00CC4E7B">
      <w:pPr>
        <w:numPr>
          <w:ilvl w:val="1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Grupo Especial:</w:t>
      </w:r>
      <w:r w:rsidRPr="00CC4E7B">
        <w:rPr>
          <w:rFonts w:ascii="Cambria" w:hAnsi="Cambria"/>
        </w:rPr>
        <w:t xml:space="preserve"> Expertos independientes examinan el caso y emiten un informe (6-9 meses).</w:t>
      </w:r>
    </w:p>
    <w:p w14:paraId="63CA108E" w14:textId="77777777" w:rsidR="0006773F" w:rsidRPr="00CC4E7B" w:rsidRDefault="0006773F" w:rsidP="00CC4E7B">
      <w:pPr>
        <w:numPr>
          <w:ilvl w:val="1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Adopción del Informe:</w:t>
      </w:r>
      <w:r w:rsidRPr="00CC4E7B">
        <w:rPr>
          <w:rFonts w:ascii="Cambria" w:hAnsi="Cambria"/>
        </w:rPr>
        <w:t xml:space="preserve"> Por el OSD (salvo consenso en contra).</w:t>
      </w:r>
    </w:p>
    <w:p w14:paraId="59EA152A" w14:textId="77777777" w:rsidR="0006773F" w:rsidRPr="00CC4E7B" w:rsidRDefault="0006773F" w:rsidP="00CC4E7B">
      <w:pPr>
        <w:numPr>
          <w:ilvl w:val="1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Apelación:</w:t>
      </w:r>
      <w:r w:rsidRPr="00CC4E7B">
        <w:rPr>
          <w:rFonts w:ascii="Cambria" w:hAnsi="Cambria"/>
        </w:rPr>
        <w:t xml:space="preserve"> Revisión de cuestiones de derecho por el Órgano de Apelación (actualmente paralizado por falta de miembros).</w:t>
      </w:r>
    </w:p>
    <w:p w14:paraId="043AD696" w14:textId="0F080D83" w:rsidR="0006773F" w:rsidRPr="00CC4E7B" w:rsidRDefault="0006773F" w:rsidP="00CC4E7B">
      <w:pPr>
        <w:numPr>
          <w:ilvl w:val="1"/>
          <w:numId w:val="11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Aplicación:</w:t>
      </w:r>
      <w:r w:rsidRPr="00CC4E7B">
        <w:rPr>
          <w:rFonts w:ascii="Cambria" w:hAnsi="Cambria"/>
        </w:rPr>
        <w:t xml:space="preserve"> Si el demandado pierde, debe corregir la medida. Si no lo hace, el OSD puede autorizar medidas de retorsión</w:t>
      </w:r>
    </w:p>
    <w:p w14:paraId="6046E24D" w14:textId="16D7293A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7. Mecanismo de Examen de las Políticas Comerciales</w:t>
      </w:r>
    </w:p>
    <w:p w14:paraId="1A648B74" w14:textId="77777777" w:rsidR="0006773F" w:rsidRPr="00CC4E7B" w:rsidRDefault="0006773F" w:rsidP="00CC4E7B">
      <w:pPr>
        <w:jc w:val="both"/>
        <w:rPr>
          <w:rFonts w:ascii="Cambria" w:hAnsi="Cambria"/>
        </w:rPr>
      </w:pPr>
      <w:r w:rsidRPr="00CC4E7B">
        <w:rPr>
          <w:rFonts w:ascii="Cambria" w:hAnsi="Cambria"/>
        </w:rPr>
        <w:t>Instrumento de transparencia y vigilancia.</w:t>
      </w:r>
    </w:p>
    <w:p w14:paraId="1E468EB3" w14:textId="77777777" w:rsidR="0006773F" w:rsidRPr="00CC4E7B" w:rsidRDefault="0006773F" w:rsidP="00CC4E7B">
      <w:pPr>
        <w:numPr>
          <w:ilvl w:val="0"/>
          <w:numId w:val="1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lastRenderedPageBreak/>
        <w:t>Objetivo:</w:t>
      </w:r>
      <w:r w:rsidRPr="00CC4E7B">
        <w:rPr>
          <w:rFonts w:ascii="Cambria" w:hAnsi="Cambria"/>
        </w:rPr>
        <w:t xml:space="preserve"> Examinar periódicamente las políticas comerciales de los Miembros para facilitar su comprensión y evaluación.</w:t>
      </w:r>
    </w:p>
    <w:p w14:paraId="13DD2D4A" w14:textId="77777777" w:rsidR="0006773F" w:rsidRPr="00CC4E7B" w:rsidRDefault="0006773F" w:rsidP="00CC4E7B">
      <w:pPr>
        <w:numPr>
          <w:ilvl w:val="0"/>
          <w:numId w:val="1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Frecuencia:</w:t>
      </w:r>
    </w:p>
    <w:p w14:paraId="271F3591" w14:textId="416436AD" w:rsidR="0006773F" w:rsidRPr="00CC4E7B" w:rsidRDefault="0006773F" w:rsidP="00CC4E7B">
      <w:pPr>
        <w:numPr>
          <w:ilvl w:val="1"/>
          <w:numId w:val="1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 xml:space="preserve">4 </w:t>
      </w:r>
      <w:proofErr w:type="gramStart"/>
      <w:r w:rsidRPr="00CC4E7B">
        <w:rPr>
          <w:rFonts w:ascii="Cambria" w:hAnsi="Cambria"/>
          <w:b/>
          <w:bCs/>
        </w:rPr>
        <w:t>Grandes</w:t>
      </w:r>
      <w:proofErr w:type="gramEnd"/>
      <w:r w:rsidRPr="00CC4E7B">
        <w:rPr>
          <w:rFonts w:ascii="Cambria" w:hAnsi="Cambria"/>
          <w:b/>
          <w:bCs/>
        </w:rPr>
        <w:t xml:space="preserve"> (UE, </w:t>
      </w:r>
      <w:proofErr w:type="gramStart"/>
      <w:r w:rsidRPr="00CC4E7B">
        <w:rPr>
          <w:rFonts w:ascii="Cambria" w:hAnsi="Cambria"/>
          <w:b/>
          <w:bCs/>
        </w:rPr>
        <w:t>EEUU</w:t>
      </w:r>
      <w:proofErr w:type="gramEnd"/>
      <w:r w:rsidRPr="00CC4E7B">
        <w:rPr>
          <w:rFonts w:ascii="Cambria" w:hAnsi="Cambria"/>
          <w:b/>
          <w:bCs/>
        </w:rPr>
        <w:t>, Japón, China):</w:t>
      </w:r>
      <w:r w:rsidRPr="00CC4E7B">
        <w:rPr>
          <w:rFonts w:ascii="Cambria" w:hAnsi="Cambria"/>
        </w:rPr>
        <w:t xml:space="preserve"> Cada 3 años aprox.</w:t>
      </w:r>
    </w:p>
    <w:p w14:paraId="7356D2AA" w14:textId="77777777" w:rsidR="0006773F" w:rsidRPr="00CC4E7B" w:rsidRDefault="0006773F" w:rsidP="00CC4E7B">
      <w:pPr>
        <w:numPr>
          <w:ilvl w:val="1"/>
          <w:numId w:val="1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Siguientes 16:</w:t>
      </w:r>
      <w:r w:rsidRPr="00CC4E7B">
        <w:rPr>
          <w:rFonts w:ascii="Cambria" w:hAnsi="Cambria"/>
        </w:rPr>
        <w:t xml:space="preserve"> Cada 5 años.</w:t>
      </w:r>
    </w:p>
    <w:p w14:paraId="64DCBF8A" w14:textId="77777777" w:rsidR="0006773F" w:rsidRPr="00CC4E7B" w:rsidRDefault="0006773F" w:rsidP="00CC4E7B">
      <w:pPr>
        <w:numPr>
          <w:ilvl w:val="1"/>
          <w:numId w:val="1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Resto:</w:t>
      </w:r>
      <w:r w:rsidRPr="00CC4E7B">
        <w:rPr>
          <w:rFonts w:ascii="Cambria" w:hAnsi="Cambria"/>
        </w:rPr>
        <w:t xml:space="preserve"> Cada 7 años (más tiempo para PMA).</w:t>
      </w:r>
    </w:p>
    <w:p w14:paraId="03ACEDAC" w14:textId="77777777" w:rsidR="0006773F" w:rsidRPr="00CC4E7B" w:rsidRDefault="0006773F" w:rsidP="00CC4E7B">
      <w:pPr>
        <w:numPr>
          <w:ilvl w:val="0"/>
          <w:numId w:val="12"/>
        </w:numPr>
        <w:jc w:val="both"/>
        <w:rPr>
          <w:rFonts w:ascii="Cambria" w:hAnsi="Cambria"/>
        </w:rPr>
      </w:pPr>
      <w:r w:rsidRPr="00CC4E7B">
        <w:rPr>
          <w:rFonts w:ascii="Cambria" w:hAnsi="Cambria"/>
          <w:b/>
          <w:bCs/>
        </w:rPr>
        <w:t>Documentación:</w:t>
      </w:r>
      <w:r w:rsidRPr="00CC4E7B">
        <w:rPr>
          <w:rFonts w:ascii="Cambria" w:hAnsi="Cambria"/>
        </w:rPr>
        <w:t xml:space="preserve"> Se basa en una declaración del gobierno examinado y un informe independiente de la Secretaría de la OMC.</w:t>
      </w:r>
    </w:p>
    <w:p w14:paraId="1C269F7A" w14:textId="77777777" w:rsidR="0006773F" w:rsidRPr="00CC4E7B" w:rsidRDefault="0006773F" w:rsidP="00CC4E7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C4E7B">
        <w:rPr>
          <w:rFonts w:ascii="Cambria" w:hAnsi="Cambria"/>
          <w:b/>
          <w:bCs/>
          <w:color w:val="auto"/>
          <w:sz w:val="28"/>
          <w:szCs w:val="28"/>
        </w:rPr>
        <w:t>8. Conclusión</w:t>
      </w:r>
    </w:p>
    <w:p w14:paraId="10C0C372" w14:textId="77777777" w:rsidR="0006773F" w:rsidRPr="00CC4E7B" w:rsidRDefault="0006773F" w:rsidP="00CC4E7B">
      <w:pPr>
        <w:jc w:val="both"/>
        <w:rPr>
          <w:rFonts w:ascii="Cambria" w:hAnsi="Cambria"/>
        </w:rPr>
      </w:pPr>
      <w:r w:rsidRPr="00CC4E7B">
        <w:rPr>
          <w:rFonts w:ascii="Cambria" w:hAnsi="Cambria"/>
        </w:rPr>
        <w:t>La OMC ha logrado avances significativos en facilitación del comercio y eliminación de subsidios agrícolas a la exportación (Nairobi), pero enfrenta retos importantes como la conclusión de la Agenda de Doha, la adaptación a la economía digital y la reforma de su sistema de solución de controversias, especialmente el desbloqueo del Órgano de Apelación.</w:t>
      </w:r>
    </w:p>
    <w:p w14:paraId="3E081307" w14:textId="77777777" w:rsidR="00A65383" w:rsidRPr="00CC4E7B" w:rsidRDefault="00A65383" w:rsidP="00CC4E7B">
      <w:pPr>
        <w:jc w:val="both"/>
        <w:rPr>
          <w:rFonts w:ascii="Cambria" w:hAnsi="Cambria"/>
        </w:rPr>
      </w:pPr>
    </w:p>
    <w:sectPr w:rsidR="00A65383" w:rsidRPr="00CC4E7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7994" w14:textId="77777777" w:rsidR="0006773F" w:rsidRDefault="0006773F" w:rsidP="0006773F">
      <w:pPr>
        <w:spacing w:after="0" w:line="240" w:lineRule="auto"/>
      </w:pPr>
      <w:r>
        <w:separator/>
      </w:r>
    </w:p>
  </w:endnote>
  <w:endnote w:type="continuationSeparator" w:id="0">
    <w:p w14:paraId="1E0E5957" w14:textId="77777777" w:rsidR="0006773F" w:rsidRDefault="0006773F" w:rsidP="00067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B39F" w14:textId="77777777" w:rsidR="0006773F" w:rsidRDefault="0006773F" w:rsidP="0006773F">
      <w:pPr>
        <w:spacing w:after="0" w:line="240" w:lineRule="auto"/>
      </w:pPr>
      <w:r>
        <w:separator/>
      </w:r>
    </w:p>
  </w:footnote>
  <w:footnote w:type="continuationSeparator" w:id="0">
    <w:p w14:paraId="53E95101" w14:textId="77777777" w:rsidR="0006773F" w:rsidRDefault="0006773F" w:rsidP="00067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36283" w14:textId="77F051BF" w:rsidR="0006773F" w:rsidRPr="0006773F" w:rsidRDefault="0006773F" w:rsidP="0006773F">
    <w:pPr>
      <w:pStyle w:val="Encabezado"/>
      <w:jc w:val="both"/>
      <w:rPr>
        <w:rFonts w:ascii="Palatino Linotype" w:hAnsi="Palatino Linotype"/>
        <w:i/>
        <w:iCs/>
      </w:rPr>
    </w:pPr>
    <w:r w:rsidRPr="0006773F">
      <w:rPr>
        <w:rFonts w:ascii="Palatino Linotype" w:hAnsi="Palatino Linotype"/>
        <w:b/>
        <w:bCs/>
        <w:i/>
        <w:iCs/>
      </w:rPr>
      <w:t>TEMA 39 -</w:t>
    </w:r>
    <w:r w:rsidRPr="0006773F">
      <w:rPr>
        <w:rFonts w:ascii="Palatino Linotype" w:hAnsi="Palatino Linotype"/>
        <w:i/>
        <w:iCs/>
      </w:rPr>
      <w:t xml:space="preserve"> La Organización Mundial de Comercio y la economía mundial. El sistema de la OMC. Objetivo, funciones y estructura de la OMC. Adopción de decisiones. La Secretaría de la OMC. Solución de diferencias en la OMC. El Mecanismo de Examen de las Políticas Comerciales.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BA9"/>
    <w:multiLevelType w:val="multilevel"/>
    <w:tmpl w:val="D430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2BA2"/>
    <w:multiLevelType w:val="multilevel"/>
    <w:tmpl w:val="1D3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B3F"/>
    <w:multiLevelType w:val="multilevel"/>
    <w:tmpl w:val="506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477D"/>
    <w:multiLevelType w:val="multilevel"/>
    <w:tmpl w:val="9D0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07A4"/>
    <w:multiLevelType w:val="multilevel"/>
    <w:tmpl w:val="A4D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70339"/>
    <w:multiLevelType w:val="multilevel"/>
    <w:tmpl w:val="7F7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9702F"/>
    <w:multiLevelType w:val="multilevel"/>
    <w:tmpl w:val="F8E2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F3FFA"/>
    <w:multiLevelType w:val="multilevel"/>
    <w:tmpl w:val="246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11534"/>
    <w:multiLevelType w:val="multilevel"/>
    <w:tmpl w:val="30F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81AFA"/>
    <w:multiLevelType w:val="multilevel"/>
    <w:tmpl w:val="4E5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A016C"/>
    <w:multiLevelType w:val="multilevel"/>
    <w:tmpl w:val="72B2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04854"/>
    <w:multiLevelType w:val="multilevel"/>
    <w:tmpl w:val="16A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4670">
    <w:abstractNumId w:val="4"/>
  </w:num>
  <w:num w:numId="2" w16cid:durableId="1780637623">
    <w:abstractNumId w:val="7"/>
  </w:num>
  <w:num w:numId="3" w16cid:durableId="922493590">
    <w:abstractNumId w:val="6"/>
  </w:num>
  <w:num w:numId="4" w16cid:durableId="1528447538">
    <w:abstractNumId w:val="0"/>
  </w:num>
  <w:num w:numId="5" w16cid:durableId="992636545">
    <w:abstractNumId w:val="5"/>
  </w:num>
  <w:num w:numId="6" w16cid:durableId="123356677">
    <w:abstractNumId w:val="1"/>
  </w:num>
  <w:num w:numId="7" w16cid:durableId="1794980280">
    <w:abstractNumId w:val="8"/>
  </w:num>
  <w:num w:numId="8" w16cid:durableId="37513559">
    <w:abstractNumId w:val="3"/>
  </w:num>
  <w:num w:numId="9" w16cid:durableId="1092773944">
    <w:abstractNumId w:val="2"/>
  </w:num>
  <w:num w:numId="10" w16cid:durableId="1277953437">
    <w:abstractNumId w:val="9"/>
  </w:num>
  <w:num w:numId="11" w16cid:durableId="657852448">
    <w:abstractNumId w:val="11"/>
  </w:num>
  <w:num w:numId="12" w16cid:durableId="862524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3F"/>
    <w:rsid w:val="0006773F"/>
    <w:rsid w:val="000D3383"/>
    <w:rsid w:val="00382557"/>
    <w:rsid w:val="0039294C"/>
    <w:rsid w:val="0056592E"/>
    <w:rsid w:val="005803BC"/>
    <w:rsid w:val="00793E7E"/>
    <w:rsid w:val="00864D23"/>
    <w:rsid w:val="0092253C"/>
    <w:rsid w:val="00A65383"/>
    <w:rsid w:val="00A8675C"/>
    <w:rsid w:val="00C12CFD"/>
    <w:rsid w:val="00CC4E7B"/>
    <w:rsid w:val="00F0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3EEF6"/>
  <w15:chartTrackingRefBased/>
  <w15:docId w15:val="{D6E0CE5A-DE6D-464E-AEA6-36D30096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67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7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7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7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7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7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7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7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73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677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7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73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7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73F"/>
  </w:style>
  <w:style w:type="paragraph" w:styleId="Piedepgina">
    <w:name w:val="footer"/>
    <w:basedOn w:val="Normal"/>
    <w:link w:val="PiedepginaCar"/>
    <w:uiPriority w:val="99"/>
    <w:unhideWhenUsed/>
    <w:rsid w:val="000677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2025-11-24T12:23:00Z</dcterms:created>
  <dcterms:modified xsi:type="dcterms:W3CDTF">2026-01-14T14:31:00Z</dcterms:modified>
</cp:coreProperties>
</file>