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1774" w14:textId="77777777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2AB587D9" w14:textId="77777777" w:rsidR="00286350" w:rsidRPr="00736C2F" w:rsidRDefault="00286350" w:rsidP="00736C2F">
      <w:pPr>
        <w:numPr>
          <w:ilvl w:val="0"/>
          <w:numId w:val="1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Adhesión de España (1986):</w:t>
      </w:r>
      <w:r w:rsidRPr="00736C2F">
        <w:rPr>
          <w:rFonts w:ascii="Cambria" w:hAnsi="Cambria"/>
        </w:rPr>
        <w:t xml:space="preserve"> Supuso el fin del aislamiento, la equiparación democrática y la elevación del nivel de vida.</w:t>
      </w:r>
    </w:p>
    <w:p w14:paraId="112946FC" w14:textId="77777777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2. Antecedentes y Evolución</w:t>
      </w:r>
    </w:p>
    <w:p w14:paraId="7794D908" w14:textId="77777777" w:rsidR="00286350" w:rsidRPr="00736C2F" w:rsidRDefault="00286350" w:rsidP="00736C2F">
      <w:pPr>
        <w:numPr>
          <w:ilvl w:val="0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Precedentes:</w:t>
      </w:r>
    </w:p>
    <w:p w14:paraId="2456FD8C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Zollverein (1834):</w:t>
      </w:r>
      <w:r w:rsidRPr="00736C2F">
        <w:rPr>
          <w:rFonts w:ascii="Cambria" w:hAnsi="Cambria"/>
        </w:rPr>
        <w:t xml:space="preserve"> Unión Aduanera alemana.</w:t>
      </w:r>
    </w:p>
    <w:p w14:paraId="38499E3B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Post-II Guerra Mundial:</w:t>
      </w:r>
      <w:r w:rsidRPr="00736C2F">
        <w:rPr>
          <w:rFonts w:ascii="Cambria" w:hAnsi="Cambria"/>
        </w:rPr>
        <w:t xml:space="preserve"> Necesidad de cooperación para la paz y consolidación económica.</w:t>
      </w:r>
    </w:p>
    <w:p w14:paraId="7B480403" w14:textId="77777777" w:rsidR="00286350" w:rsidRPr="00736C2F" w:rsidRDefault="00286350" w:rsidP="00736C2F">
      <w:pPr>
        <w:numPr>
          <w:ilvl w:val="2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OECE (1948):</w:t>
      </w:r>
      <w:r w:rsidRPr="00736C2F">
        <w:rPr>
          <w:rFonts w:ascii="Cambria" w:hAnsi="Cambria"/>
        </w:rPr>
        <w:t xml:space="preserve"> Para gestionar el Plan Marshall (luego OCDE).</w:t>
      </w:r>
    </w:p>
    <w:p w14:paraId="14CEEB57" w14:textId="47AF74E5" w:rsidR="00286350" w:rsidRPr="00736C2F" w:rsidRDefault="00286350" w:rsidP="00736C2F">
      <w:pPr>
        <w:numPr>
          <w:ilvl w:val="2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Consejo de Europa (1949):</w:t>
      </w:r>
      <w:r w:rsidRPr="00736C2F">
        <w:rPr>
          <w:rFonts w:ascii="Cambria" w:hAnsi="Cambria"/>
        </w:rPr>
        <w:t xml:space="preserve"> Cooperación política y DDHH</w:t>
      </w:r>
      <w:r w:rsidR="00140F6B" w:rsidRPr="00736C2F">
        <w:rPr>
          <w:rFonts w:ascii="Cambria" w:hAnsi="Cambria"/>
        </w:rPr>
        <w:t>.</w:t>
      </w:r>
    </w:p>
    <w:p w14:paraId="61273302" w14:textId="77777777" w:rsidR="00286350" w:rsidRPr="00736C2F" w:rsidRDefault="00286350" w:rsidP="00736C2F">
      <w:pPr>
        <w:numPr>
          <w:ilvl w:val="0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Comunidades Europeas:</w:t>
      </w:r>
    </w:p>
    <w:p w14:paraId="37DCBBBA" w14:textId="72BF8CA6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Declaración Schuman (1950):</w:t>
      </w:r>
      <w:r w:rsidRPr="00736C2F">
        <w:rPr>
          <w:rFonts w:ascii="Cambria" w:hAnsi="Cambria"/>
        </w:rPr>
        <w:t xml:space="preserve"> Propuesta de integración del carbón y acero</w:t>
      </w:r>
      <w:r w:rsidR="00140F6B" w:rsidRPr="00736C2F">
        <w:rPr>
          <w:rFonts w:ascii="Cambria" w:hAnsi="Cambria"/>
        </w:rPr>
        <w:t>.</w:t>
      </w:r>
    </w:p>
    <w:p w14:paraId="2A1AACE8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CECA (1951):</w:t>
      </w:r>
      <w:r w:rsidRPr="00736C2F">
        <w:rPr>
          <w:rFonts w:ascii="Cambria" w:hAnsi="Cambria"/>
        </w:rPr>
        <w:t xml:space="preserve"> Tratado de París. 6 fundadores (Francia, Alemania, Italia, Benelux). Mercado común sectorial.</w:t>
      </w:r>
    </w:p>
    <w:p w14:paraId="5C680E0E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Tratados de Roma (1957):</w:t>
      </w:r>
      <w:r w:rsidRPr="00736C2F">
        <w:rPr>
          <w:rFonts w:ascii="Cambria" w:hAnsi="Cambria"/>
        </w:rPr>
        <w:t xml:space="preserve"> Creación de la CEE (Comunidad Económica Europea) y EURATOM.</w:t>
      </w:r>
    </w:p>
    <w:p w14:paraId="1EF01DC2" w14:textId="77777777" w:rsidR="00286350" w:rsidRPr="00736C2F" w:rsidRDefault="00286350" w:rsidP="00736C2F">
      <w:pPr>
        <w:numPr>
          <w:ilvl w:val="2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Objetivo: Mercado Común y aproximación de políticas.</w:t>
      </w:r>
    </w:p>
    <w:p w14:paraId="7CB259D0" w14:textId="77777777" w:rsidR="00286350" w:rsidRPr="00736C2F" w:rsidRDefault="00286350" w:rsidP="00736C2F">
      <w:pPr>
        <w:numPr>
          <w:ilvl w:val="2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t>Unión Aduanera:</w:t>
      </w:r>
      <w:r w:rsidRPr="00736C2F">
        <w:rPr>
          <w:rFonts w:ascii="Cambria" w:hAnsi="Cambria"/>
        </w:rPr>
        <w:t xml:space="preserve"> Lograda en 1968.</w:t>
      </w:r>
    </w:p>
    <w:p w14:paraId="612C858F" w14:textId="77777777" w:rsidR="00286350" w:rsidRPr="00736C2F" w:rsidRDefault="00286350" w:rsidP="00736C2F">
      <w:pPr>
        <w:numPr>
          <w:ilvl w:val="0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Ampliaciones:</w:t>
      </w:r>
    </w:p>
    <w:p w14:paraId="040CA8AD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1973: Reino Unido, Irlanda, Dinamarca.</w:t>
      </w:r>
    </w:p>
    <w:p w14:paraId="74AFB3A2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1981: Grecia.</w:t>
      </w:r>
    </w:p>
    <w:p w14:paraId="138B564D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1986: España y Portugal.</w:t>
      </w:r>
    </w:p>
    <w:p w14:paraId="637A729B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1995: Austria, Suecia, Finlandia.</w:t>
      </w:r>
    </w:p>
    <w:p w14:paraId="6B8B8BB5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2004: 10 países (principalmente del Este).</w:t>
      </w:r>
    </w:p>
    <w:p w14:paraId="637B9211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2007: Bulgaria y Rumanía.</w:t>
      </w:r>
    </w:p>
    <w:p w14:paraId="169F84FF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2013: Croacia.</w:t>
      </w:r>
    </w:p>
    <w:p w14:paraId="00BDF6EB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i/>
          <w:iCs/>
        </w:rPr>
        <w:t>Salidas:</w:t>
      </w:r>
      <w:r w:rsidRPr="00736C2F">
        <w:rPr>
          <w:rFonts w:ascii="Cambria" w:hAnsi="Cambria"/>
        </w:rPr>
        <w:t xml:space="preserve"> Groenlandia (1985) y Reino Unido (Brexit, 2020).</w:t>
      </w:r>
    </w:p>
    <w:p w14:paraId="12B64567" w14:textId="77777777" w:rsidR="00286350" w:rsidRPr="00736C2F" w:rsidRDefault="00286350" w:rsidP="00736C2F">
      <w:pPr>
        <w:numPr>
          <w:ilvl w:val="0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Acta Única Europea (1986):</w:t>
      </w:r>
    </w:p>
    <w:p w14:paraId="75914473" w14:textId="3C9F026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lastRenderedPageBreak/>
        <w:t>Objetivo</w:t>
      </w:r>
      <w:r w:rsidRPr="00736C2F">
        <w:rPr>
          <w:rFonts w:ascii="Cambria" w:hAnsi="Cambria"/>
        </w:rPr>
        <w:t xml:space="preserve">: Alcanzar el </w:t>
      </w:r>
      <w:r w:rsidRPr="00736C2F">
        <w:rPr>
          <w:rFonts w:ascii="Cambria" w:hAnsi="Cambria"/>
          <w:b/>
          <w:bCs/>
        </w:rPr>
        <w:t>Mercado Único</w:t>
      </w:r>
      <w:r w:rsidRPr="00736C2F">
        <w:rPr>
          <w:rFonts w:ascii="Cambria" w:hAnsi="Cambria"/>
        </w:rPr>
        <w:t xml:space="preserve"> antes del 1992 (libertad de bienes, servicios, personas y capitales).</w:t>
      </w:r>
    </w:p>
    <w:p w14:paraId="60FBF8C8" w14:textId="77777777" w:rsidR="00286350" w:rsidRPr="00736C2F" w:rsidRDefault="00286350" w:rsidP="00736C2F">
      <w:pPr>
        <w:numPr>
          <w:ilvl w:val="1"/>
          <w:numId w:val="2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t>Novedades</w:t>
      </w:r>
      <w:r w:rsidRPr="00736C2F">
        <w:rPr>
          <w:rFonts w:ascii="Cambria" w:hAnsi="Cambria"/>
        </w:rPr>
        <w:t>: Cohesión económica y social (Fondos Estructurales), I+D, Medioambiente, y mayor uso de votación por mayoría cualificada.</w:t>
      </w:r>
    </w:p>
    <w:p w14:paraId="3D8402C6" w14:textId="4012E13B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3. Tratado de Maastricht</w:t>
      </w:r>
    </w:p>
    <w:p w14:paraId="0C6B31E9" w14:textId="77777777" w:rsidR="00286350" w:rsidRPr="00736C2F" w:rsidRDefault="00286350" w:rsidP="00736C2F">
      <w:pPr>
        <w:jc w:val="both"/>
        <w:rPr>
          <w:rFonts w:ascii="Cambria" w:hAnsi="Cambria"/>
        </w:rPr>
      </w:pPr>
      <w:r w:rsidRPr="00736C2F">
        <w:rPr>
          <w:rFonts w:ascii="Cambria" w:hAnsi="Cambria"/>
        </w:rPr>
        <w:t>Firmado en 1992, entrada en vigor en 1993. Crea la Unión Europea sobre 3 Pilares:</w:t>
      </w:r>
    </w:p>
    <w:p w14:paraId="0766722B" w14:textId="77777777" w:rsidR="00286350" w:rsidRPr="00736C2F" w:rsidRDefault="00286350" w:rsidP="00736C2F">
      <w:pPr>
        <w:numPr>
          <w:ilvl w:val="0"/>
          <w:numId w:val="3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Pilar Comunitario (Comunidades Europeas):</w:t>
      </w:r>
    </w:p>
    <w:p w14:paraId="003689C8" w14:textId="77777777" w:rsidR="00286350" w:rsidRPr="00736C2F" w:rsidRDefault="00286350" w:rsidP="00736C2F">
      <w:pPr>
        <w:numPr>
          <w:ilvl w:val="1"/>
          <w:numId w:val="3"/>
        </w:numPr>
        <w:jc w:val="both"/>
        <w:rPr>
          <w:rFonts w:ascii="Cambria" w:hAnsi="Cambria"/>
          <w:u w:val="single"/>
        </w:rPr>
      </w:pPr>
      <w:r w:rsidRPr="00736C2F">
        <w:rPr>
          <w:rFonts w:ascii="Cambria" w:hAnsi="Cambria"/>
        </w:rPr>
        <w:t xml:space="preserve">Modifica Tratado de Roma. Incorpora la </w:t>
      </w:r>
      <w:r w:rsidRPr="00736C2F">
        <w:rPr>
          <w:rFonts w:ascii="Cambria" w:hAnsi="Cambria"/>
          <w:u w:val="single"/>
        </w:rPr>
        <w:t>Unión Económica y Monetaria (UEM).</w:t>
      </w:r>
    </w:p>
    <w:p w14:paraId="47506CF0" w14:textId="77777777" w:rsidR="00286350" w:rsidRPr="00736C2F" w:rsidRDefault="00286350" w:rsidP="00736C2F">
      <w:pPr>
        <w:numPr>
          <w:ilvl w:val="1"/>
          <w:numId w:val="3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t>Ciudadanía de la Unión:</w:t>
      </w:r>
      <w:r w:rsidRPr="00736C2F">
        <w:rPr>
          <w:rFonts w:ascii="Cambria" w:hAnsi="Cambria"/>
        </w:rPr>
        <w:t xml:space="preserve"> Derechos políticos y de libre circulación.</w:t>
      </w:r>
    </w:p>
    <w:p w14:paraId="736FFE44" w14:textId="77777777" w:rsidR="00286350" w:rsidRPr="00736C2F" w:rsidRDefault="00286350" w:rsidP="00736C2F">
      <w:pPr>
        <w:numPr>
          <w:ilvl w:val="1"/>
          <w:numId w:val="3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t>Cohesión</w:t>
      </w:r>
      <w:r w:rsidRPr="00736C2F">
        <w:rPr>
          <w:rFonts w:ascii="Cambria" w:hAnsi="Cambria"/>
          <w:b/>
          <w:bCs/>
        </w:rPr>
        <w:t>:</w:t>
      </w:r>
      <w:r w:rsidRPr="00736C2F">
        <w:rPr>
          <w:rFonts w:ascii="Cambria" w:hAnsi="Cambria"/>
        </w:rPr>
        <w:t xml:space="preserve"> Creación del Fondo de Cohesión (infraestructuras y medioambiente para países con renta &lt;90% media).</w:t>
      </w:r>
    </w:p>
    <w:p w14:paraId="2A7A5F14" w14:textId="1AF8A2FD" w:rsidR="00286350" w:rsidRPr="00736C2F" w:rsidRDefault="00286350" w:rsidP="00736C2F">
      <w:pPr>
        <w:numPr>
          <w:ilvl w:val="0"/>
          <w:numId w:val="3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Política Exterior y de Seguridad Común (PESC):</w:t>
      </w:r>
      <w:r w:rsidRPr="00736C2F">
        <w:rPr>
          <w:rFonts w:ascii="Cambria" w:hAnsi="Cambria"/>
        </w:rPr>
        <w:t xml:space="preserve"> Voz única en asuntos internacionales.</w:t>
      </w:r>
    </w:p>
    <w:p w14:paraId="339E5D28" w14:textId="77777777" w:rsidR="00286350" w:rsidRPr="00736C2F" w:rsidRDefault="00286350" w:rsidP="00736C2F">
      <w:pPr>
        <w:numPr>
          <w:ilvl w:val="0"/>
          <w:numId w:val="3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Justicia y Asuntos de Interior (JAI):</w:t>
      </w:r>
      <w:r w:rsidRPr="00736C2F">
        <w:rPr>
          <w:rFonts w:ascii="Cambria" w:hAnsi="Cambria"/>
        </w:rPr>
        <w:t xml:space="preserve"> Cooperación policial y judicial penal.</w:t>
      </w:r>
    </w:p>
    <w:p w14:paraId="5D6887AB" w14:textId="77777777" w:rsidR="00286350" w:rsidRPr="00736C2F" w:rsidRDefault="00286350" w:rsidP="00736C2F">
      <w:pPr>
        <w:jc w:val="both"/>
        <w:rPr>
          <w:rFonts w:ascii="Cambria" w:hAnsi="Cambria"/>
          <w:u w:val="single"/>
        </w:rPr>
      </w:pPr>
      <w:r w:rsidRPr="00736C2F">
        <w:rPr>
          <w:rFonts w:ascii="Cambria" w:hAnsi="Cambria"/>
          <w:b/>
          <w:bCs/>
          <w:u w:val="single"/>
        </w:rPr>
        <w:t>Unión Económica y Monetaria (UEM) - Etapas:</w:t>
      </w:r>
    </w:p>
    <w:p w14:paraId="0E29978C" w14:textId="77777777" w:rsidR="00286350" w:rsidRPr="00736C2F" w:rsidRDefault="00286350" w:rsidP="00736C2F">
      <w:pPr>
        <w:numPr>
          <w:ilvl w:val="0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1ª Etapa (1990-93):</w:t>
      </w:r>
      <w:r w:rsidRPr="00736C2F">
        <w:rPr>
          <w:rFonts w:ascii="Cambria" w:hAnsi="Cambria"/>
        </w:rPr>
        <w:t xml:space="preserve"> Libertad movimiento capitales.</w:t>
      </w:r>
    </w:p>
    <w:p w14:paraId="6CA782F7" w14:textId="77777777" w:rsidR="00286350" w:rsidRPr="00736C2F" w:rsidRDefault="00286350" w:rsidP="00736C2F">
      <w:pPr>
        <w:numPr>
          <w:ilvl w:val="0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2ª Etapa (1994-98):</w:t>
      </w:r>
      <w:r w:rsidRPr="00736C2F">
        <w:rPr>
          <w:rFonts w:ascii="Cambria" w:hAnsi="Cambria"/>
        </w:rPr>
        <w:t xml:space="preserve"> Instituto Monetario Europeo (predecesor BCE). Convergencia económica.</w:t>
      </w:r>
    </w:p>
    <w:p w14:paraId="715824E7" w14:textId="77777777" w:rsidR="00286350" w:rsidRPr="00736C2F" w:rsidRDefault="00286350" w:rsidP="00736C2F">
      <w:pPr>
        <w:numPr>
          <w:ilvl w:val="1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Criterios de Convergencia:</w:t>
      </w:r>
    </w:p>
    <w:p w14:paraId="5D8CB6C4" w14:textId="77777777" w:rsidR="00286350" w:rsidRPr="00736C2F" w:rsidRDefault="00286350" w:rsidP="00736C2F">
      <w:pPr>
        <w:numPr>
          <w:ilvl w:val="2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Inflación (no superar en 1,5% a los 3 mejores).</w:t>
      </w:r>
    </w:p>
    <w:p w14:paraId="7A4C58FD" w14:textId="77777777" w:rsidR="00286350" w:rsidRPr="00736C2F" w:rsidRDefault="00286350" w:rsidP="00736C2F">
      <w:pPr>
        <w:numPr>
          <w:ilvl w:val="2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Déficit público (&lt;3% PIB).</w:t>
      </w:r>
    </w:p>
    <w:p w14:paraId="5DFECF4E" w14:textId="77777777" w:rsidR="00286350" w:rsidRPr="00736C2F" w:rsidRDefault="00286350" w:rsidP="00736C2F">
      <w:pPr>
        <w:numPr>
          <w:ilvl w:val="2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Deuda pública (&lt;60% PIB).</w:t>
      </w:r>
    </w:p>
    <w:p w14:paraId="1363C4AC" w14:textId="77777777" w:rsidR="00286350" w:rsidRPr="00736C2F" w:rsidRDefault="00286350" w:rsidP="00736C2F">
      <w:pPr>
        <w:numPr>
          <w:ilvl w:val="2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Tipo de cambio (banda normal SME sin devaluación).</w:t>
      </w:r>
    </w:p>
    <w:p w14:paraId="757CAC15" w14:textId="218813DD" w:rsidR="00286350" w:rsidRPr="00736C2F" w:rsidRDefault="00286350" w:rsidP="00736C2F">
      <w:pPr>
        <w:numPr>
          <w:ilvl w:val="2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Tipos de interés a largo plazo (no superar en 2%).</w:t>
      </w:r>
    </w:p>
    <w:p w14:paraId="4AE2AB46" w14:textId="44D6B9E7" w:rsidR="00286350" w:rsidRPr="00736C2F" w:rsidRDefault="00286350" w:rsidP="00736C2F">
      <w:pPr>
        <w:numPr>
          <w:ilvl w:val="0"/>
          <w:numId w:val="4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3ª Etapa (1999-</w:t>
      </w:r>
      <w:r w:rsidR="00140F6B" w:rsidRPr="00736C2F">
        <w:rPr>
          <w:rFonts w:ascii="Cambria" w:hAnsi="Cambria"/>
          <w:b/>
          <w:bCs/>
        </w:rPr>
        <w:t>act</w:t>
      </w:r>
      <w:r w:rsidRPr="00736C2F">
        <w:rPr>
          <w:rFonts w:ascii="Cambria" w:hAnsi="Cambria"/>
          <w:b/>
          <w:bCs/>
        </w:rPr>
        <w:t>):</w:t>
      </w:r>
      <w:r w:rsidRPr="00736C2F">
        <w:rPr>
          <w:rFonts w:ascii="Cambria" w:hAnsi="Cambria"/>
        </w:rPr>
        <w:t xml:space="preserve"> Fijación tipos cambio y entrada del Euro</w:t>
      </w:r>
      <w:r w:rsidR="00140F6B" w:rsidRPr="00736C2F">
        <w:rPr>
          <w:rFonts w:ascii="Cambria" w:hAnsi="Cambria"/>
        </w:rPr>
        <w:t>.</w:t>
      </w:r>
    </w:p>
    <w:p w14:paraId="74D169D4" w14:textId="77777777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4. Tratado de Ámsterdam</w:t>
      </w:r>
    </w:p>
    <w:p w14:paraId="20D5DC35" w14:textId="77777777" w:rsidR="00286350" w:rsidRPr="00736C2F" w:rsidRDefault="00286350" w:rsidP="00736C2F">
      <w:pPr>
        <w:jc w:val="both"/>
        <w:rPr>
          <w:rFonts w:ascii="Cambria" w:hAnsi="Cambria"/>
        </w:rPr>
      </w:pPr>
      <w:r w:rsidRPr="00736C2F">
        <w:rPr>
          <w:rFonts w:ascii="Cambria" w:hAnsi="Cambria"/>
        </w:rPr>
        <w:t>Firmado en 1997, entrada en vigor en 1999.</w:t>
      </w:r>
    </w:p>
    <w:p w14:paraId="476DB033" w14:textId="77777777" w:rsidR="00286350" w:rsidRPr="00736C2F" w:rsidRDefault="00286350" w:rsidP="00736C2F">
      <w:pPr>
        <w:numPr>
          <w:ilvl w:val="0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Objetivos:</w:t>
      </w:r>
      <w:r w:rsidRPr="00736C2F">
        <w:rPr>
          <w:rFonts w:ascii="Cambria" w:hAnsi="Cambria"/>
        </w:rPr>
        <w:t xml:space="preserve"> Empleo, derechos de los ciudadanos y libre circulación.</w:t>
      </w:r>
    </w:p>
    <w:p w14:paraId="560D714A" w14:textId="38B39115" w:rsidR="00286350" w:rsidRPr="00736C2F" w:rsidRDefault="00286350" w:rsidP="00736C2F">
      <w:pPr>
        <w:numPr>
          <w:ilvl w:val="0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Espacio Schengen:</w:t>
      </w:r>
      <w:r w:rsidRPr="00736C2F">
        <w:rPr>
          <w:rFonts w:ascii="Cambria" w:hAnsi="Cambria"/>
        </w:rPr>
        <w:t xml:space="preserve"> </w:t>
      </w:r>
      <w:r w:rsidR="00B32855" w:rsidRPr="00736C2F">
        <w:rPr>
          <w:rFonts w:ascii="Cambria" w:hAnsi="Cambria"/>
        </w:rPr>
        <w:t>S</w:t>
      </w:r>
      <w:r w:rsidRPr="00736C2F">
        <w:rPr>
          <w:rFonts w:ascii="Cambria" w:hAnsi="Cambria"/>
        </w:rPr>
        <w:t>upresión fronteras interiores.</w:t>
      </w:r>
    </w:p>
    <w:p w14:paraId="5CBFF8C6" w14:textId="77777777" w:rsidR="00286350" w:rsidRPr="00736C2F" w:rsidRDefault="00286350" w:rsidP="00736C2F">
      <w:pPr>
        <w:numPr>
          <w:ilvl w:val="0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lastRenderedPageBreak/>
        <w:t>Reformas Institucionales:</w:t>
      </w:r>
    </w:p>
    <w:p w14:paraId="4BB7BC6A" w14:textId="77777777" w:rsidR="00286350" w:rsidRPr="00736C2F" w:rsidRDefault="00286350" w:rsidP="00736C2F">
      <w:pPr>
        <w:numPr>
          <w:ilvl w:val="1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Ampliación de la codecisión Parlamento-Consejo.</w:t>
      </w:r>
    </w:p>
    <w:p w14:paraId="62C40B58" w14:textId="77777777" w:rsidR="00286350" w:rsidRPr="00736C2F" w:rsidRDefault="00286350" w:rsidP="00736C2F">
      <w:pPr>
        <w:numPr>
          <w:ilvl w:val="1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Creación del Alto Representante para la PESC.</w:t>
      </w:r>
    </w:p>
    <w:p w14:paraId="15F40AD5" w14:textId="77777777" w:rsidR="00286350" w:rsidRPr="00736C2F" w:rsidRDefault="00286350" w:rsidP="00736C2F">
      <w:pPr>
        <w:numPr>
          <w:ilvl w:val="1"/>
          <w:numId w:val="5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Posibilidad de cooperación reforzada (flexibilidad).</w:t>
      </w:r>
    </w:p>
    <w:p w14:paraId="4E505B61" w14:textId="77777777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5. Tratado de Niza</w:t>
      </w:r>
    </w:p>
    <w:p w14:paraId="7BCE7572" w14:textId="77777777" w:rsidR="00286350" w:rsidRPr="00736C2F" w:rsidRDefault="00286350" w:rsidP="00736C2F">
      <w:pPr>
        <w:jc w:val="both"/>
        <w:rPr>
          <w:rFonts w:ascii="Cambria" w:hAnsi="Cambria"/>
        </w:rPr>
      </w:pPr>
      <w:r w:rsidRPr="00736C2F">
        <w:rPr>
          <w:rFonts w:ascii="Cambria" w:hAnsi="Cambria"/>
        </w:rPr>
        <w:t>Firmado en 2001, entrada en vigor en 2003.</w:t>
      </w:r>
    </w:p>
    <w:p w14:paraId="3A7C951E" w14:textId="77777777" w:rsidR="00286350" w:rsidRPr="00736C2F" w:rsidRDefault="00286350" w:rsidP="00736C2F">
      <w:pPr>
        <w:numPr>
          <w:ilvl w:val="0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Objetivo:</w:t>
      </w:r>
      <w:r w:rsidRPr="00736C2F">
        <w:rPr>
          <w:rFonts w:ascii="Cambria" w:hAnsi="Cambria"/>
        </w:rPr>
        <w:t xml:space="preserve"> Preparar las instituciones para la ampliación al Este.</w:t>
      </w:r>
    </w:p>
    <w:p w14:paraId="58717FBB" w14:textId="77777777" w:rsidR="00286350" w:rsidRPr="00736C2F" w:rsidRDefault="00286350" w:rsidP="00736C2F">
      <w:pPr>
        <w:numPr>
          <w:ilvl w:val="0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Cambios:</w:t>
      </w:r>
    </w:p>
    <w:p w14:paraId="153E0EFD" w14:textId="77777777" w:rsidR="00286350" w:rsidRPr="00736C2F" w:rsidRDefault="00286350" w:rsidP="00736C2F">
      <w:pPr>
        <w:numPr>
          <w:ilvl w:val="1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Nueva ponderación de votos en el Consejo.</w:t>
      </w:r>
    </w:p>
    <w:p w14:paraId="08D1C286" w14:textId="77777777" w:rsidR="00286350" w:rsidRPr="00736C2F" w:rsidRDefault="00286350" w:rsidP="00736C2F">
      <w:pPr>
        <w:numPr>
          <w:ilvl w:val="1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Composición del Parlamento Europeo (aumento escaños) y Comisión (un comisario por país).</w:t>
      </w:r>
    </w:p>
    <w:p w14:paraId="72205483" w14:textId="77777777" w:rsidR="00286350" w:rsidRPr="00736C2F" w:rsidRDefault="00286350" w:rsidP="00736C2F">
      <w:pPr>
        <w:numPr>
          <w:ilvl w:val="1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Extensión de la mayoría cualificada a más ámbitos.</w:t>
      </w:r>
    </w:p>
    <w:p w14:paraId="5D570A84" w14:textId="77777777" w:rsidR="00286350" w:rsidRPr="00736C2F" w:rsidRDefault="00286350" w:rsidP="00736C2F">
      <w:pPr>
        <w:numPr>
          <w:ilvl w:val="1"/>
          <w:numId w:val="6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Proclamación de la Carta de los Derechos Fundamentales (no vinculante aún).</w:t>
      </w:r>
    </w:p>
    <w:p w14:paraId="6F3B5D91" w14:textId="0F7810E1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6. La Constitución Europea</w:t>
      </w:r>
    </w:p>
    <w:p w14:paraId="538167EE" w14:textId="77777777" w:rsidR="00286350" w:rsidRPr="00736C2F" w:rsidRDefault="00286350" w:rsidP="00736C2F">
      <w:pPr>
        <w:numPr>
          <w:ilvl w:val="0"/>
          <w:numId w:val="7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Convención Europea (2001-2003):</w:t>
      </w:r>
      <w:r w:rsidRPr="00736C2F">
        <w:rPr>
          <w:rFonts w:ascii="Cambria" w:hAnsi="Cambria"/>
        </w:rPr>
        <w:t xml:space="preserve"> Redacción de un Tratado Constitucional.</w:t>
      </w:r>
    </w:p>
    <w:p w14:paraId="267CF0CD" w14:textId="77777777" w:rsidR="00286350" w:rsidRPr="00736C2F" w:rsidRDefault="00286350" w:rsidP="00736C2F">
      <w:pPr>
        <w:numPr>
          <w:ilvl w:val="0"/>
          <w:numId w:val="7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Resultado:</w:t>
      </w:r>
      <w:r w:rsidRPr="00736C2F">
        <w:rPr>
          <w:rFonts w:ascii="Cambria" w:hAnsi="Cambria"/>
        </w:rPr>
        <w:t xml:space="preserve"> Firmado en 2004 pero </w:t>
      </w:r>
      <w:r w:rsidRPr="00736C2F">
        <w:rPr>
          <w:rFonts w:ascii="Cambria" w:hAnsi="Cambria"/>
          <w:u w:val="single"/>
        </w:rPr>
        <w:t>rechazado</w:t>
      </w:r>
      <w:r w:rsidRPr="00736C2F">
        <w:rPr>
          <w:rFonts w:ascii="Cambria" w:hAnsi="Cambria"/>
        </w:rPr>
        <w:t xml:space="preserve"> en referéndums en Francia y Países Bajos (2005), lo que llevó a su abandono y sustitución por el Tratado de Lisboa.</w:t>
      </w:r>
    </w:p>
    <w:p w14:paraId="222EAC0F" w14:textId="77777777" w:rsidR="00286350" w:rsidRPr="00736C2F" w:rsidRDefault="00286350" w:rsidP="00736C2F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7. Tratado de Lisboa</w:t>
      </w:r>
    </w:p>
    <w:p w14:paraId="738B8F24" w14:textId="77777777" w:rsidR="00286350" w:rsidRPr="00736C2F" w:rsidRDefault="00286350" w:rsidP="00736C2F">
      <w:pPr>
        <w:jc w:val="both"/>
        <w:rPr>
          <w:rFonts w:ascii="Cambria" w:hAnsi="Cambria"/>
        </w:rPr>
      </w:pPr>
      <w:r w:rsidRPr="00736C2F">
        <w:rPr>
          <w:rFonts w:ascii="Cambria" w:hAnsi="Cambria"/>
        </w:rPr>
        <w:t xml:space="preserve">Firmado en 2007, entrada en vigor en </w:t>
      </w:r>
      <w:r w:rsidRPr="00736C2F">
        <w:rPr>
          <w:rFonts w:ascii="Cambria" w:hAnsi="Cambria"/>
          <w:b/>
          <w:bCs/>
        </w:rPr>
        <w:t>1 de diciembre de 2009</w:t>
      </w:r>
      <w:r w:rsidRPr="00736C2F">
        <w:rPr>
          <w:rFonts w:ascii="Cambria" w:hAnsi="Cambria"/>
        </w:rPr>
        <w:t>.</w:t>
      </w:r>
    </w:p>
    <w:p w14:paraId="4BFF5429" w14:textId="77777777" w:rsidR="00286350" w:rsidRPr="00736C2F" w:rsidRDefault="00286350" w:rsidP="00736C2F">
      <w:pPr>
        <w:numPr>
          <w:ilvl w:val="0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Naturaleza:</w:t>
      </w:r>
      <w:r w:rsidRPr="00736C2F">
        <w:rPr>
          <w:rFonts w:ascii="Cambria" w:hAnsi="Cambria"/>
        </w:rPr>
        <w:t xml:space="preserve"> Modifica los tratados existentes (TUE y crea el TFUE - Tratado de Funcionamiento de la UE).</w:t>
      </w:r>
    </w:p>
    <w:p w14:paraId="1D4C7AF2" w14:textId="77777777" w:rsidR="00286350" w:rsidRPr="00736C2F" w:rsidRDefault="00286350" w:rsidP="00736C2F">
      <w:pPr>
        <w:numPr>
          <w:ilvl w:val="0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Logros Principales:</w:t>
      </w:r>
    </w:p>
    <w:p w14:paraId="1A15456C" w14:textId="77777777" w:rsidR="00286350" w:rsidRPr="00736C2F" w:rsidRDefault="00286350" w:rsidP="00736C2F">
      <w:pPr>
        <w:numPr>
          <w:ilvl w:val="1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Democracia y Transparencia:</w:t>
      </w:r>
    </w:p>
    <w:p w14:paraId="3D14F9DB" w14:textId="1B2B8D04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Mayor poder del Parlamento Europeo</w:t>
      </w:r>
      <w:r w:rsidR="00B32855" w:rsidRPr="00736C2F">
        <w:rPr>
          <w:rFonts w:ascii="Cambria" w:hAnsi="Cambria"/>
        </w:rPr>
        <w:t xml:space="preserve"> (PLO)</w:t>
      </w:r>
      <w:r w:rsidRPr="00736C2F">
        <w:rPr>
          <w:rFonts w:ascii="Cambria" w:hAnsi="Cambria"/>
        </w:rPr>
        <w:t>.</w:t>
      </w:r>
    </w:p>
    <w:p w14:paraId="68C2142F" w14:textId="1946E1FA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Mayor rol de Parlamentos nacionales (subsidiariedad).</w:t>
      </w:r>
    </w:p>
    <w:p w14:paraId="788D2FCE" w14:textId="46E5993D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Iniciativa Ciudadana Europea.</w:t>
      </w:r>
    </w:p>
    <w:p w14:paraId="5B6FDEC8" w14:textId="77777777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Carácter vinculante de la Carta de Derechos Fundamentales.</w:t>
      </w:r>
    </w:p>
    <w:p w14:paraId="6DC27CB0" w14:textId="77777777" w:rsidR="00286350" w:rsidRPr="00736C2F" w:rsidRDefault="00286350" w:rsidP="00736C2F">
      <w:pPr>
        <w:numPr>
          <w:ilvl w:val="1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lastRenderedPageBreak/>
        <w:t>Eficacia Institucional:</w:t>
      </w:r>
    </w:p>
    <w:p w14:paraId="59366A91" w14:textId="77777777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Personalidad Jurídica Única de la Unión (desaparece estructura de pilares).</w:t>
      </w:r>
    </w:p>
    <w:p w14:paraId="17A3159E" w14:textId="1C159968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Presidente del Consejo Europeo:</w:t>
      </w:r>
      <w:r w:rsidRPr="00736C2F">
        <w:rPr>
          <w:rFonts w:ascii="Cambria" w:hAnsi="Cambria"/>
        </w:rPr>
        <w:t xml:space="preserve"> Permanente 2,5 años renovable.</w:t>
      </w:r>
    </w:p>
    <w:p w14:paraId="6681192D" w14:textId="77777777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u w:val="single"/>
        </w:rPr>
        <w:t>Alto Representante de la Unión para Asuntos Exteriores y Política de Seguridad</w:t>
      </w:r>
      <w:r w:rsidRPr="00736C2F">
        <w:rPr>
          <w:rFonts w:ascii="Cambria" w:hAnsi="Cambria"/>
        </w:rPr>
        <w:t xml:space="preserve"> (Vicepresidente de la Comisión y preside Consejo de Asuntos Exteriores).</w:t>
      </w:r>
    </w:p>
    <w:p w14:paraId="01AFB7D5" w14:textId="77777777" w:rsidR="00286350" w:rsidRPr="00736C2F" w:rsidRDefault="00286350" w:rsidP="00736C2F">
      <w:pPr>
        <w:numPr>
          <w:ilvl w:val="2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Sistema de votación: Doble Mayoría en el Consejo (55% Estados que representen 65% población).</w:t>
      </w:r>
    </w:p>
    <w:p w14:paraId="4D2C09BF" w14:textId="77777777" w:rsidR="00286350" w:rsidRPr="00736C2F" w:rsidRDefault="00286350" w:rsidP="00736C2F">
      <w:pPr>
        <w:numPr>
          <w:ilvl w:val="1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Clasificación de Competencias:</w:t>
      </w:r>
      <w:r w:rsidRPr="00736C2F">
        <w:rPr>
          <w:rFonts w:ascii="Cambria" w:hAnsi="Cambria"/>
        </w:rPr>
        <w:t xml:space="preserve"> Exclusivas, Compartidas y de Apoyo.</w:t>
      </w:r>
    </w:p>
    <w:p w14:paraId="2D7EB40A" w14:textId="77777777" w:rsidR="00286350" w:rsidRPr="00736C2F" w:rsidRDefault="00286350" w:rsidP="00736C2F">
      <w:pPr>
        <w:numPr>
          <w:ilvl w:val="1"/>
          <w:numId w:val="8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Retirada de la Unión (Art. 50 TUE):</w:t>
      </w:r>
      <w:r w:rsidRPr="00736C2F">
        <w:rPr>
          <w:rFonts w:ascii="Cambria" w:hAnsi="Cambria"/>
        </w:rPr>
        <w:t xml:space="preserve"> Prevé por primera vez el procedimiento de salida voluntaria.</w:t>
      </w:r>
    </w:p>
    <w:p w14:paraId="70CDB155" w14:textId="2C0C554B" w:rsidR="00286350" w:rsidRPr="00736C2F" w:rsidRDefault="00286350" w:rsidP="00736C2F">
      <w:pPr>
        <w:pStyle w:val="Ttulo1"/>
        <w:tabs>
          <w:tab w:val="left" w:pos="6108"/>
        </w:tabs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736C2F">
        <w:rPr>
          <w:rFonts w:ascii="Cambria" w:hAnsi="Cambria"/>
          <w:b/>
          <w:bCs/>
          <w:color w:val="auto"/>
          <w:sz w:val="28"/>
          <w:szCs w:val="28"/>
        </w:rPr>
        <w:t>8. Conclusión y Situación Actual</w:t>
      </w:r>
      <w:r w:rsidR="00B32855" w:rsidRPr="00736C2F">
        <w:rPr>
          <w:rFonts w:ascii="Cambria" w:hAnsi="Cambria"/>
          <w:b/>
          <w:bCs/>
          <w:color w:val="auto"/>
          <w:sz w:val="28"/>
          <w:szCs w:val="28"/>
        </w:rPr>
        <w:tab/>
      </w:r>
    </w:p>
    <w:p w14:paraId="1E18F195" w14:textId="77777777" w:rsidR="00286350" w:rsidRPr="00736C2F" w:rsidRDefault="00286350" w:rsidP="00736C2F">
      <w:pPr>
        <w:numPr>
          <w:ilvl w:val="0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Brexit:</w:t>
      </w:r>
      <w:r w:rsidRPr="00736C2F">
        <w:rPr>
          <w:rFonts w:ascii="Cambria" w:hAnsi="Cambria"/>
        </w:rPr>
        <w:t xml:space="preserve"> Activación del Art. 50 por Reino Unido tras referéndum de 2016. Salida efectiva el 31 enero 2020.</w:t>
      </w:r>
    </w:p>
    <w:p w14:paraId="3DF8A397" w14:textId="5C97EC23" w:rsidR="00286350" w:rsidRPr="00736C2F" w:rsidRDefault="00286350" w:rsidP="00736C2F">
      <w:pPr>
        <w:numPr>
          <w:ilvl w:val="0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Procedimiento de Codecisión:</w:t>
      </w:r>
      <w:r w:rsidRPr="00736C2F">
        <w:rPr>
          <w:rFonts w:ascii="Cambria" w:hAnsi="Cambria"/>
        </w:rPr>
        <w:t xml:space="preserve"> Parlamento y Consejo aprueban legislación en pie de igualdad</w:t>
      </w:r>
      <w:r w:rsidR="00B32855" w:rsidRPr="00736C2F">
        <w:rPr>
          <w:rFonts w:ascii="Cambria" w:hAnsi="Cambria"/>
        </w:rPr>
        <w:t>.</w:t>
      </w:r>
    </w:p>
    <w:p w14:paraId="06A8B61E" w14:textId="0B315677" w:rsidR="00286350" w:rsidRPr="00736C2F" w:rsidRDefault="00286350" w:rsidP="00736C2F">
      <w:pPr>
        <w:numPr>
          <w:ilvl w:val="0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  <w:b/>
          <w:bCs/>
        </w:rPr>
        <w:t>Cargos Institucionales:</w:t>
      </w:r>
    </w:p>
    <w:p w14:paraId="115F63B5" w14:textId="77777777" w:rsidR="00286350" w:rsidRPr="00736C2F" w:rsidRDefault="00286350" w:rsidP="00736C2F">
      <w:pPr>
        <w:numPr>
          <w:ilvl w:val="1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Comisión: Ursula von der Leyen.</w:t>
      </w:r>
    </w:p>
    <w:p w14:paraId="1380E32F" w14:textId="77777777" w:rsidR="00286350" w:rsidRPr="00736C2F" w:rsidRDefault="00286350" w:rsidP="00736C2F">
      <w:pPr>
        <w:numPr>
          <w:ilvl w:val="1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Parlamento: Roberta Metsola.</w:t>
      </w:r>
    </w:p>
    <w:p w14:paraId="5298400A" w14:textId="31051BE8" w:rsidR="00286350" w:rsidRPr="00736C2F" w:rsidRDefault="00286350" w:rsidP="00736C2F">
      <w:pPr>
        <w:numPr>
          <w:ilvl w:val="1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>Consejo Europeo:</w:t>
      </w:r>
      <w:r w:rsidR="00B32855" w:rsidRPr="00736C2F">
        <w:rPr>
          <w:rFonts w:ascii="Cambria" w:hAnsi="Cambria"/>
        </w:rPr>
        <w:t xml:space="preserve"> António Costa</w:t>
      </w:r>
      <w:r w:rsidRPr="00736C2F">
        <w:rPr>
          <w:rFonts w:ascii="Cambria" w:hAnsi="Cambria"/>
        </w:rPr>
        <w:t>.</w:t>
      </w:r>
    </w:p>
    <w:p w14:paraId="35DDA1CA" w14:textId="159382DD" w:rsidR="00286350" w:rsidRPr="00736C2F" w:rsidRDefault="00286350" w:rsidP="00736C2F">
      <w:pPr>
        <w:numPr>
          <w:ilvl w:val="1"/>
          <w:numId w:val="9"/>
        </w:numPr>
        <w:jc w:val="both"/>
        <w:rPr>
          <w:rFonts w:ascii="Cambria" w:hAnsi="Cambria"/>
        </w:rPr>
      </w:pPr>
      <w:r w:rsidRPr="00736C2F">
        <w:rPr>
          <w:rFonts w:ascii="Cambria" w:hAnsi="Cambria"/>
        </w:rPr>
        <w:t xml:space="preserve">Alto Representante: </w:t>
      </w:r>
      <w:r w:rsidR="00B32855" w:rsidRPr="00736C2F">
        <w:rPr>
          <w:rFonts w:ascii="Cambria" w:hAnsi="Cambria"/>
        </w:rPr>
        <w:t>Kaja Kallas</w:t>
      </w:r>
      <w:r w:rsidRPr="00736C2F">
        <w:rPr>
          <w:rFonts w:ascii="Cambria" w:hAnsi="Cambria"/>
        </w:rPr>
        <w:t>.</w:t>
      </w:r>
    </w:p>
    <w:p w14:paraId="2383534C" w14:textId="77777777" w:rsidR="00A65383" w:rsidRPr="00736C2F" w:rsidRDefault="00A65383" w:rsidP="00736C2F">
      <w:pPr>
        <w:jc w:val="both"/>
        <w:rPr>
          <w:rFonts w:ascii="Cambria" w:hAnsi="Cambria"/>
        </w:rPr>
      </w:pPr>
    </w:p>
    <w:sectPr w:rsidR="00A65383" w:rsidRPr="00736C2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6A7D1" w14:textId="77777777" w:rsidR="00286350" w:rsidRDefault="00286350" w:rsidP="00286350">
      <w:pPr>
        <w:spacing w:after="0" w:line="240" w:lineRule="auto"/>
      </w:pPr>
      <w:r>
        <w:separator/>
      </w:r>
    </w:p>
  </w:endnote>
  <w:endnote w:type="continuationSeparator" w:id="0">
    <w:p w14:paraId="0E9AB50B" w14:textId="77777777" w:rsidR="00286350" w:rsidRDefault="00286350" w:rsidP="00286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CA066" w14:textId="77777777" w:rsidR="00286350" w:rsidRDefault="00286350" w:rsidP="00286350">
      <w:pPr>
        <w:spacing w:after="0" w:line="240" w:lineRule="auto"/>
      </w:pPr>
      <w:r>
        <w:separator/>
      </w:r>
    </w:p>
  </w:footnote>
  <w:footnote w:type="continuationSeparator" w:id="0">
    <w:p w14:paraId="50F86F77" w14:textId="77777777" w:rsidR="00286350" w:rsidRDefault="00286350" w:rsidP="00286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21EF" w14:textId="307DB0E8" w:rsidR="00286350" w:rsidRPr="00286350" w:rsidRDefault="00286350" w:rsidP="00286350">
    <w:pPr>
      <w:pStyle w:val="Encabezado"/>
      <w:jc w:val="both"/>
      <w:rPr>
        <w:rFonts w:ascii="Palatino Linotype" w:hAnsi="Palatino Linotype"/>
        <w:i/>
        <w:iCs/>
      </w:rPr>
    </w:pPr>
    <w:r w:rsidRPr="00286350">
      <w:rPr>
        <w:rFonts w:ascii="Palatino Linotype" w:hAnsi="Palatino Linotype"/>
        <w:b/>
        <w:bCs/>
        <w:i/>
        <w:iCs/>
      </w:rPr>
      <w:t>TEMA 41 -</w:t>
    </w:r>
    <w:r w:rsidRPr="00286350">
      <w:rPr>
        <w:rFonts w:ascii="Palatino Linotype" w:hAnsi="Palatino Linotype"/>
        <w:i/>
        <w:iCs/>
      </w:rPr>
      <w:t xml:space="preserve"> La Unión Europea: Antecedentes y evolución. El Tratado de Maastricht. El Tratado de Ámsterdam. El Tratado de Niza. El Tratado de Lisboa.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C92"/>
    <w:multiLevelType w:val="multilevel"/>
    <w:tmpl w:val="9636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07B27"/>
    <w:multiLevelType w:val="multilevel"/>
    <w:tmpl w:val="98A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92114"/>
    <w:multiLevelType w:val="multilevel"/>
    <w:tmpl w:val="84A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423B"/>
    <w:multiLevelType w:val="multilevel"/>
    <w:tmpl w:val="3BB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81BA7"/>
    <w:multiLevelType w:val="multilevel"/>
    <w:tmpl w:val="F94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64AA9"/>
    <w:multiLevelType w:val="multilevel"/>
    <w:tmpl w:val="DCC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61ECE"/>
    <w:multiLevelType w:val="multilevel"/>
    <w:tmpl w:val="E11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85735"/>
    <w:multiLevelType w:val="multilevel"/>
    <w:tmpl w:val="B57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86866"/>
    <w:multiLevelType w:val="multilevel"/>
    <w:tmpl w:val="DBBE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2887">
    <w:abstractNumId w:val="8"/>
  </w:num>
  <w:num w:numId="2" w16cid:durableId="400324794">
    <w:abstractNumId w:val="1"/>
  </w:num>
  <w:num w:numId="3" w16cid:durableId="1275987823">
    <w:abstractNumId w:val="3"/>
  </w:num>
  <w:num w:numId="4" w16cid:durableId="1560440686">
    <w:abstractNumId w:val="6"/>
  </w:num>
  <w:num w:numId="5" w16cid:durableId="1514958867">
    <w:abstractNumId w:val="0"/>
  </w:num>
  <w:num w:numId="6" w16cid:durableId="1479689566">
    <w:abstractNumId w:val="4"/>
  </w:num>
  <w:num w:numId="7" w16cid:durableId="738097208">
    <w:abstractNumId w:val="7"/>
  </w:num>
  <w:num w:numId="8" w16cid:durableId="369385249">
    <w:abstractNumId w:val="5"/>
  </w:num>
  <w:num w:numId="9" w16cid:durableId="79255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50"/>
    <w:rsid w:val="00103CB4"/>
    <w:rsid w:val="00140F6B"/>
    <w:rsid w:val="00286350"/>
    <w:rsid w:val="004C41FB"/>
    <w:rsid w:val="005803BC"/>
    <w:rsid w:val="00736C2F"/>
    <w:rsid w:val="00793E7E"/>
    <w:rsid w:val="00A65383"/>
    <w:rsid w:val="00A8675C"/>
    <w:rsid w:val="00B02828"/>
    <w:rsid w:val="00B32855"/>
    <w:rsid w:val="00C12CFD"/>
    <w:rsid w:val="00D2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10EB"/>
  <w15:chartTrackingRefBased/>
  <w15:docId w15:val="{B64C214F-D1B2-4F50-9A95-262DCF0E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8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35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286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3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6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350"/>
  </w:style>
  <w:style w:type="paragraph" w:styleId="Piedepgina">
    <w:name w:val="footer"/>
    <w:basedOn w:val="Normal"/>
    <w:link w:val="PiedepginaCar"/>
    <w:uiPriority w:val="99"/>
    <w:unhideWhenUsed/>
    <w:rsid w:val="002863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2025-11-24T12:43:00Z</dcterms:created>
  <dcterms:modified xsi:type="dcterms:W3CDTF">2026-01-14T14:31:00Z</dcterms:modified>
</cp:coreProperties>
</file>