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62666" w14:textId="77777777" w:rsidR="008A0AD0" w:rsidRPr="00D377FA" w:rsidRDefault="008A0AD0" w:rsidP="00D377FA">
      <w:pPr>
        <w:pStyle w:val="Ttulo1"/>
        <w:jc w:val="both"/>
        <w:rPr>
          <w:rFonts w:ascii="Cambria" w:hAnsi="Cambria"/>
          <w:b/>
          <w:bCs/>
          <w:color w:val="auto"/>
          <w:sz w:val="28"/>
          <w:szCs w:val="28"/>
        </w:rPr>
      </w:pPr>
      <w:r w:rsidRPr="00D377FA">
        <w:rPr>
          <w:rFonts w:ascii="Cambria" w:hAnsi="Cambria"/>
          <w:b/>
          <w:bCs/>
          <w:color w:val="auto"/>
          <w:sz w:val="28"/>
          <w:szCs w:val="28"/>
        </w:rPr>
        <w:t>1. Introducción y Naturaleza de la UE</w:t>
      </w:r>
    </w:p>
    <w:p w14:paraId="6CCBC908" w14:textId="58133493" w:rsidR="008A0AD0" w:rsidRPr="00D377FA" w:rsidRDefault="008A0AD0" w:rsidP="00D377FA">
      <w:pPr>
        <w:numPr>
          <w:ilvl w:val="0"/>
          <w:numId w:val="1"/>
        </w:numPr>
        <w:jc w:val="both"/>
        <w:rPr>
          <w:rFonts w:ascii="Cambria" w:hAnsi="Cambria"/>
        </w:rPr>
      </w:pPr>
      <w:r w:rsidRPr="00D377FA">
        <w:rPr>
          <w:rFonts w:ascii="Cambria" w:hAnsi="Cambria"/>
          <w:b/>
          <w:bCs/>
        </w:rPr>
        <w:t>Naturaleza:</w:t>
      </w:r>
      <w:r w:rsidRPr="00D377FA">
        <w:rPr>
          <w:rFonts w:ascii="Cambria" w:hAnsi="Cambria"/>
        </w:rPr>
        <w:t xml:space="preserve"> La UE no es una federación ni una mera organización de cooperación</w:t>
      </w:r>
      <w:r w:rsidR="002325F1" w:rsidRPr="00D377FA">
        <w:rPr>
          <w:rFonts w:ascii="Cambria" w:hAnsi="Cambria"/>
        </w:rPr>
        <w:t xml:space="preserve">. </w:t>
      </w:r>
      <w:r w:rsidRPr="00D377FA">
        <w:rPr>
          <w:rFonts w:ascii="Cambria" w:hAnsi="Cambria"/>
        </w:rPr>
        <w:t xml:space="preserve">Los EEMM siguen siendo soberanos e </w:t>
      </w:r>
      <w:r w:rsidR="002325F1" w:rsidRPr="00D377FA">
        <w:rPr>
          <w:rFonts w:ascii="Cambria" w:hAnsi="Cambria"/>
        </w:rPr>
        <w:t>independientes,</w:t>
      </w:r>
      <w:r w:rsidRPr="00D377FA">
        <w:rPr>
          <w:rFonts w:ascii="Cambria" w:hAnsi="Cambria"/>
        </w:rPr>
        <w:t xml:space="preserve"> pero </w:t>
      </w:r>
      <w:r w:rsidRPr="00D377FA">
        <w:rPr>
          <w:rFonts w:ascii="Cambria" w:hAnsi="Cambria"/>
          <w:u w:val="single"/>
        </w:rPr>
        <w:t>comparten su soberanía</w:t>
      </w:r>
      <w:r w:rsidRPr="00D377FA">
        <w:rPr>
          <w:rFonts w:ascii="Cambria" w:hAnsi="Cambria"/>
        </w:rPr>
        <w:t xml:space="preserve"> delegando poderes decisorios en instituciones comunes.</w:t>
      </w:r>
    </w:p>
    <w:p w14:paraId="60EC17AA" w14:textId="17919502" w:rsidR="008A0AD0" w:rsidRPr="00D377FA" w:rsidRDefault="008A0AD0" w:rsidP="00D377FA">
      <w:pPr>
        <w:numPr>
          <w:ilvl w:val="0"/>
          <w:numId w:val="1"/>
        </w:numPr>
        <w:jc w:val="both"/>
        <w:rPr>
          <w:rFonts w:ascii="Cambria" w:hAnsi="Cambria"/>
        </w:rPr>
      </w:pPr>
      <w:r w:rsidRPr="00D377FA">
        <w:rPr>
          <w:rFonts w:ascii="Cambria" w:hAnsi="Cambria"/>
          <w:b/>
          <w:bCs/>
        </w:rPr>
        <w:t>Triángulo Institucional:</w:t>
      </w:r>
    </w:p>
    <w:p w14:paraId="5C54C1A1" w14:textId="69BBA469" w:rsidR="008A0AD0" w:rsidRPr="00D377FA" w:rsidRDefault="008A0AD0" w:rsidP="00D377FA">
      <w:pPr>
        <w:numPr>
          <w:ilvl w:val="1"/>
          <w:numId w:val="1"/>
        </w:numPr>
        <w:jc w:val="both"/>
        <w:rPr>
          <w:rFonts w:ascii="Cambria" w:hAnsi="Cambria"/>
        </w:rPr>
      </w:pPr>
      <w:r w:rsidRPr="00D377FA">
        <w:rPr>
          <w:rFonts w:ascii="Cambria" w:hAnsi="Cambria"/>
          <w:b/>
          <w:bCs/>
        </w:rPr>
        <w:t>Parlamento Europeo:</w:t>
      </w:r>
      <w:r w:rsidRPr="00D377FA">
        <w:rPr>
          <w:rFonts w:ascii="Cambria" w:hAnsi="Cambria"/>
        </w:rPr>
        <w:t xml:space="preserve"> Representa a los ciudadanos.</w:t>
      </w:r>
    </w:p>
    <w:p w14:paraId="3A951468" w14:textId="77777777" w:rsidR="008A0AD0" w:rsidRPr="00D377FA" w:rsidRDefault="008A0AD0" w:rsidP="00D377FA">
      <w:pPr>
        <w:numPr>
          <w:ilvl w:val="1"/>
          <w:numId w:val="1"/>
        </w:numPr>
        <w:jc w:val="both"/>
        <w:rPr>
          <w:rFonts w:ascii="Cambria" w:hAnsi="Cambria"/>
        </w:rPr>
      </w:pPr>
      <w:r w:rsidRPr="00D377FA">
        <w:rPr>
          <w:rFonts w:ascii="Cambria" w:hAnsi="Cambria"/>
          <w:b/>
          <w:bCs/>
        </w:rPr>
        <w:t>Consejo de la UE:</w:t>
      </w:r>
      <w:r w:rsidRPr="00D377FA">
        <w:rPr>
          <w:rFonts w:ascii="Cambria" w:hAnsi="Cambria"/>
        </w:rPr>
        <w:t xml:space="preserve"> Representa a los gobiernos de los EEMM.</w:t>
      </w:r>
    </w:p>
    <w:p w14:paraId="043CA83C" w14:textId="7DF266EE" w:rsidR="008A0AD0" w:rsidRPr="00D377FA" w:rsidRDefault="008A0AD0" w:rsidP="00D377FA">
      <w:pPr>
        <w:numPr>
          <w:ilvl w:val="1"/>
          <w:numId w:val="1"/>
        </w:numPr>
        <w:jc w:val="both"/>
        <w:rPr>
          <w:rFonts w:ascii="Cambria" w:hAnsi="Cambria"/>
        </w:rPr>
      </w:pPr>
      <w:r w:rsidRPr="00D377FA">
        <w:rPr>
          <w:rFonts w:ascii="Cambria" w:hAnsi="Cambria"/>
          <w:b/>
          <w:bCs/>
        </w:rPr>
        <w:t>Comisión Europea:</w:t>
      </w:r>
      <w:r w:rsidRPr="00D377FA">
        <w:rPr>
          <w:rFonts w:ascii="Cambria" w:hAnsi="Cambria"/>
        </w:rPr>
        <w:t xml:space="preserve"> Representa los intereses de la U</w:t>
      </w:r>
      <w:r w:rsidR="004B6E03" w:rsidRPr="00D377FA">
        <w:rPr>
          <w:rFonts w:ascii="Cambria" w:hAnsi="Cambria"/>
        </w:rPr>
        <w:t>E</w:t>
      </w:r>
      <w:r w:rsidR="00F6007F" w:rsidRPr="00D377FA">
        <w:rPr>
          <w:rFonts w:ascii="Cambria" w:hAnsi="Cambria"/>
        </w:rPr>
        <w:t>.</w:t>
      </w:r>
    </w:p>
    <w:p w14:paraId="260EC018" w14:textId="77777777" w:rsidR="008A0AD0" w:rsidRPr="00D377FA" w:rsidRDefault="008A0AD0" w:rsidP="00D377FA">
      <w:pPr>
        <w:numPr>
          <w:ilvl w:val="0"/>
          <w:numId w:val="1"/>
        </w:numPr>
        <w:jc w:val="both"/>
        <w:rPr>
          <w:rFonts w:ascii="Cambria" w:hAnsi="Cambria"/>
        </w:rPr>
      </w:pPr>
      <w:r w:rsidRPr="00D377FA">
        <w:rPr>
          <w:rFonts w:ascii="Cambria" w:hAnsi="Cambria"/>
          <w:b/>
          <w:bCs/>
        </w:rPr>
        <w:t>Otras Instituciones clave:</w:t>
      </w:r>
    </w:p>
    <w:p w14:paraId="1EEC1856" w14:textId="13ADCE0A" w:rsidR="008A0AD0" w:rsidRPr="00D377FA" w:rsidRDefault="008A0AD0" w:rsidP="00D377FA">
      <w:pPr>
        <w:numPr>
          <w:ilvl w:val="1"/>
          <w:numId w:val="1"/>
        </w:numPr>
        <w:jc w:val="both"/>
        <w:rPr>
          <w:rFonts w:ascii="Cambria" w:hAnsi="Cambria"/>
        </w:rPr>
      </w:pPr>
      <w:r w:rsidRPr="00D377FA">
        <w:rPr>
          <w:rFonts w:ascii="Cambria" w:hAnsi="Cambria"/>
          <w:b/>
          <w:bCs/>
        </w:rPr>
        <w:t>Tribunal de Justicia de la UE:</w:t>
      </w:r>
      <w:r w:rsidRPr="00D377FA">
        <w:rPr>
          <w:rFonts w:ascii="Cambria" w:hAnsi="Cambria"/>
        </w:rPr>
        <w:t xml:space="preserve"> Cumplimiento de la legislación.</w:t>
      </w:r>
    </w:p>
    <w:p w14:paraId="626E56E2" w14:textId="1445B5B4" w:rsidR="008A0AD0" w:rsidRPr="00D377FA" w:rsidRDefault="008A0AD0" w:rsidP="00D377FA">
      <w:pPr>
        <w:numPr>
          <w:ilvl w:val="1"/>
          <w:numId w:val="1"/>
        </w:numPr>
        <w:jc w:val="both"/>
        <w:rPr>
          <w:rFonts w:ascii="Cambria" w:hAnsi="Cambria"/>
        </w:rPr>
      </w:pPr>
      <w:r w:rsidRPr="00D377FA">
        <w:rPr>
          <w:rFonts w:ascii="Cambria" w:hAnsi="Cambria"/>
          <w:b/>
          <w:bCs/>
        </w:rPr>
        <w:t>Tribunal de Cuentas Europeo:</w:t>
      </w:r>
      <w:r w:rsidRPr="00D377FA">
        <w:rPr>
          <w:rFonts w:ascii="Cambria" w:hAnsi="Cambria"/>
        </w:rPr>
        <w:t xml:space="preserve"> Control de la financiación.</w:t>
      </w:r>
    </w:p>
    <w:p w14:paraId="3E080C6B" w14:textId="74B08C48" w:rsidR="008A0AD0" w:rsidRPr="00D377FA" w:rsidRDefault="008A0AD0" w:rsidP="00D377FA">
      <w:pPr>
        <w:pStyle w:val="Ttulo1"/>
        <w:jc w:val="both"/>
        <w:rPr>
          <w:rFonts w:ascii="Cambria" w:hAnsi="Cambria"/>
          <w:b/>
          <w:bCs/>
          <w:color w:val="auto"/>
          <w:sz w:val="28"/>
          <w:szCs w:val="28"/>
        </w:rPr>
      </w:pPr>
      <w:r w:rsidRPr="00D377FA">
        <w:rPr>
          <w:rFonts w:ascii="Cambria" w:hAnsi="Cambria"/>
          <w:b/>
          <w:bCs/>
          <w:color w:val="auto"/>
          <w:sz w:val="28"/>
          <w:szCs w:val="28"/>
        </w:rPr>
        <w:t>2. Evolución Normativa</w:t>
      </w:r>
    </w:p>
    <w:p w14:paraId="55D1496D" w14:textId="51586F37" w:rsidR="008A0AD0" w:rsidRPr="00D377FA" w:rsidRDefault="008A0AD0" w:rsidP="00D377FA">
      <w:pPr>
        <w:jc w:val="both"/>
        <w:rPr>
          <w:rFonts w:ascii="Cambria" w:hAnsi="Cambria"/>
        </w:rPr>
      </w:pPr>
      <w:r w:rsidRPr="00D377FA">
        <w:rPr>
          <w:rFonts w:ascii="Cambria" w:hAnsi="Cambria"/>
        </w:rPr>
        <w:t>Constituyen el Derecho Originario. Deben ser ratificados por todos los EEMM.</w:t>
      </w:r>
    </w:p>
    <w:p w14:paraId="58FAAB4B" w14:textId="77777777" w:rsidR="008A0AD0" w:rsidRPr="00D377FA" w:rsidRDefault="008A0AD0" w:rsidP="00D377FA">
      <w:pPr>
        <w:numPr>
          <w:ilvl w:val="0"/>
          <w:numId w:val="2"/>
        </w:numPr>
        <w:jc w:val="both"/>
        <w:rPr>
          <w:rFonts w:ascii="Cambria" w:hAnsi="Cambria"/>
        </w:rPr>
      </w:pPr>
      <w:r w:rsidRPr="00D377FA">
        <w:rPr>
          <w:rFonts w:ascii="Cambria" w:hAnsi="Cambria"/>
          <w:b/>
          <w:bCs/>
        </w:rPr>
        <w:t>Tratados de Roma (1957):</w:t>
      </w:r>
    </w:p>
    <w:p w14:paraId="238A4E24" w14:textId="77777777" w:rsidR="008A0AD0" w:rsidRPr="00D377FA" w:rsidRDefault="008A0AD0" w:rsidP="00D377FA">
      <w:pPr>
        <w:numPr>
          <w:ilvl w:val="1"/>
          <w:numId w:val="2"/>
        </w:numPr>
        <w:jc w:val="both"/>
        <w:rPr>
          <w:rFonts w:ascii="Cambria" w:hAnsi="Cambria"/>
        </w:rPr>
      </w:pPr>
      <w:r w:rsidRPr="00D377FA">
        <w:rPr>
          <w:rFonts w:ascii="Cambria" w:hAnsi="Cambria"/>
        </w:rPr>
        <w:t>Creación de la CEE y EURATOM.</w:t>
      </w:r>
    </w:p>
    <w:p w14:paraId="0BE47227" w14:textId="06DBC4DF" w:rsidR="008A0AD0" w:rsidRPr="00D377FA" w:rsidRDefault="008A0AD0" w:rsidP="00D377FA">
      <w:pPr>
        <w:numPr>
          <w:ilvl w:val="1"/>
          <w:numId w:val="2"/>
        </w:numPr>
        <w:jc w:val="both"/>
        <w:rPr>
          <w:rFonts w:ascii="Cambria" w:hAnsi="Cambria"/>
        </w:rPr>
      </w:pPr>
      <w:r w:rsidRPr="00D377FA">
        <w:rPr>
          <w:rFonts w:ascii="Cambria" w:hAnsi="Cambria"/>
        </w:rPr>
        <w:t>Institución de los principales órganos comunitarios (Consejo, Comisión, Parlamento, TJUE).</w:t>
      </w:r>
    </w:p>
    <w:p w14:paraId="55FC090D" w14:textId="77777777" w:rsidR="008A0AD0" w:rsidRPr="00D377FA" w:rsidRDefault="008A0AD0" w:rsidP="00D377FA">
      <w:pPr>
        <w:numPr>
          <w:ilvl w:val="0"/>
          <w:numId w:val="2"/>
        </w:numPr>
        <w:jc w:val="both"/>
        <w:rPr>
          <w:rFonts w:ascii="Cambria" w:hAnsi="Cambria"/>
        </w:rPr>
      </w:pPr>
      <w:r w:rsidRPr="00D377FA">
        <w:rPr>
          <w:rFonts w:ascii="Cambria" w:hAnsi="Cambria"/>
          <w:b/>
          <w:bCs/>
        </w:rPr>
        <w:t>Acta Única Europea (1986):</w:t>
      </w:r>
    </w:p>
    <w:p w14:paraId="40F40B1E" w14:textId="77777777" w:rsidR="008A0AD0" w:rsidRPr="00D377FA" w:rsidRDefault="008A0AD0" w:rsidP="00D377FA">
      <w:pPr>
        <w:numPr>
          <w:ilvl w:val="1"/>
          <w:numId w:val="2"/>
        </w:numPr>
        <w:jc w:val="both"/>
        <w:rPr>
          <w:rFonts w:ascii="Cambria" w:hAnsi="Cambria"/>
        </w:rPr>
      </w:pPr>
      <w:r w:rsidRPr="00D377FA">
        <w:rPr>
          <w:rFonts w:ascii="Cambria" w:hAnsi="Cambria"/>
        </w:rPr>
        <w:t>Preparación para</w:t>
      </w:r>
      <w:r w:rsidRPr="00D377FA">
        <w:rPr>
          <w:rFonts w:ascii="Cambria" w:hAnsi="Cambria"/>
          <w:u w:val="single"/>
        </w:rPr>
        <w:t xml:space="preserve"> el Mercado Único.</w:t>
      </w:r>
    </w:p>
    <w:p w14:paraId="6D5B5E1B" w14:textId="48AF6CFE" w:rsidR="008A0AD0" w:rsidRPr="00D377FA" w:rsidRDefault="008A0AD0" w:rsidP="00D377FA">
      <w:pPr>
        <w:numPr>
          <w:ilvl w:val="1"/>
          <w:numId w:val="2"/>
        </w:numPr>
        <w:jc w:val="both"/>
        <w:rPr>
          <w:rFonts w:ascii="Cambria" w:hAnsi="Cambria"/>
        </w:rPr>
      </w:pPr>
      <w:r w:rsidRPr="00D377FA">
        <w:rPr>
          <w:rFonts w:ascii="Cambria" w:hAnsi="Cambria"/>
        </w:rPr>
        <w:t>Aumento de votaciones por mayoría cualificada en el Consejo.</w:t>
      </w:r>
    </w:p>
    <w:p w14:paraId="65361456" w14:textId="77777777" w:rsidR="008A0AD0" w:rsidRPr="00D377FA" w:rsidRDefault="008A0AD0" w:rsidP="00D377FA">
      <w:pPr>
        <w:numPr>
          <w:ilvl w:val="0"/>
          <w:numId w:val="2"/>
        </w:numPr>
        <w:jc w:val="both"/>
        <w:rPr>
          <w:rFonts w:ascii="Cambria" w:hAnsi="Cambria"/>
        </w:rPr>
      </w:pPr>
      <w:r w:rsidRPr="00D377FA">
        <w:rPr>
          <w:rFonts w:ascii="Cambria" w:hAnsi="Cambria"/>
          <w:b/>
          <w:bCs/>
        </w:rPr>
        <w:t>Tratado de Maastricht / TUE (1992):</w:t>
      </w:r>
    </w:p>
    <w:p w14:paraId="66B7220C" w14:textId="77777777" w:rsidR="008A0AD0" w:rsidRPr="00D377FA" w:rsidRDefault="008A0AD0" w:rsidP="00D377FA">
      <w:pPr>
        <w:numPr>
          <w:ilvl w:val="1"/>
          <w:numId w:val="2"/>
        </w:numPr>
        <w:jc w:val="both"/>
        <w:rPr>
          <w:rFonts w:ascii="Cambria" w:hAnsi="Cambria"/>
        </w:rPr>
      </w:pPr>
      <w:r w:rsidRPr="00D377FA">
        <w:rPr>
          <w:rFonts w:ascii="Cambria" w:hAnsi="Cambria"/>
        </w:rPr>
        <w:t>Estatus oficial del Consejo Europeo como máximo órgano político.</w:t>
      </w:r>
    </w:p>
    <w:p w14:paraId="1AA21B66" w14:textId="77777777" w:rsidR="008A0AD0" w:rsidRPr="00D377FA" w:rsidRDefault="008A0AD0" w:rsidP="00D377FA">
      <w:pPr>
        <w:numPr>
          <w:ilvl w:val="1"/>
          <w:numId w:val="2"/>
        </w:numPr>
        <w:jc w:val="both"/>
        <w:rPr>
          <w:rFonts w:ascii="Cambria" w:hAnsi="Cambria"/>
        </w:rPr>
      </w:pPr>
      <w:r w:rsidRPr="00D377FA">
        <w:rPr>
          <w:rFonts w:ascii="Cambria" w:hAnsi="Cambria"/>
        </w:rPr>
        <w:t>Refuerzo del PE y creación de nuevas instituciones (Comité de las Regiones, BCE, Defensor del Pueblo).</w:t>
      </w:r>
    </w:p>
    <w:p w14:paraId="5801E741" w14:textId="0CF52837" w:rsidR="008A0AD0" w:rsidRPr="00D377FA" w:rsidRDefault="008A0AD0" w:rsidP="00D377FA">
      <w:pPr>
        <w:numPr>
          <w:ilvl w:val="1"/>
          <w:numId w:val="2"/>
        </w:numPr>
        <w:jc w:val="both"/>
        <w:rPr>
          <w:rFonts w:ascii="Cambria" w:hAnsi="Cambria"/>
        </w:rPr>
      </w:pPr>
      <w:r w:rsidRPr="00D377FA">
        <w:rPr>
          <w:rFonts w:ascii="Cambria" w:hAnsi="Cambria"/>
        </w:rPr>
        <w:t xml:space="preserve">Establecimiento de los </w:t>
      </w:r>
      <w:r w:rsidRPr="00D377FA">
        <w:rPr>
          <w:rFonts w:ascii="Cambria" w:hAnsi="Cambria"/>
          <w:u w:val="single"/>
        </w:rPr>
        <w:t>3 Pilares:</w:t>
      </w:r>
      <w:r w:rsidRPr="00D377FA">
        <w:rPr>
          <w:rFonts w:ascii="Cambria" w:hAnsi="Cambria"/>
        </w:rPr>
        <w:t xml:space="preserve"> Comunidades Europeas, PESC y Cooperación JAI.</w:t>
      </w:r>
    </w:p>
    <w:p w14:paraId="5C11823A" w14:textId="77777777" w:rsidR="008A0AD0" w:rsidRPr="00D377FA" w:rsidRDefault="008A0AD0" w:rsidP="00D377FA">
      <w:pPr>
        <w:numPr>
          <w:ilvl w:val="0"/>
          <w:numId w:val="2"/>
        </w:numPr>
        <w:jc w:val="both"/>
        <w:rPr>
          <w:rFonts w:ascii="Cambria" w:hAnsi="Cambria"/>
        </w:rPr>
      </w:pPr>
      <w:r w:rsidRPr="00D377FA">
        <w:rPr>
          <w:rFonts w:ascii="Cambria" w:hAnsi="Cambria"/>
          <w:b/>
          <w:bCs/>
        </w:rPr>
        <w:t>Tratado de Ámsterdam (1997):</w:t>
      </w:r>
    </w:p>
    <w:p w14:paraId="26BDCE34" w14:textId="77777777" w:rsidR="008A0AD0" w:rsidRPr="00D377FA" w:rsidRDefault="008A0AD0" w:rsidP="00D377FA">
      <w:pPr>
        <w:numPr>
          <w:ilvl w:val="1"/>
          <w:numId w:val="2"/>
        </w:numPr>
        <w:jc w:val="both"/>
        <w:rPr>
          <w:rFonts w:ascii="Cambria" w:hAnsi="Cambria"/>
        </w:rPr>
      </w:pPr>
      <w:r w:rsidRPr="00D377FA">
        <w:rPr>
          <w:rFonts w:ascii="Cambria" w:hAnsi="Cambria"/>
        </w:rPr>
        <w:lastRenderedPageBreak/>
        <w:t>Ampliación de la Codecisión y funciones del Presidente de la Comisión.</w:t>
      </w:r>
    </w:p>
    <w:p w14:paraId="5A9C6047" w14:textId="0FC97796" w:rsidR="008A0AD0" w:rsidRPr="00D377FA" w:rsidRDefault="008A0AD0" w:rsidP="00D377FA">
      <w:pPr>
        <w:numPr>
          <w:ilvl w:val="1"/>
          <w:numId w:val="2"/>
        </w:numPr>
        <w:jc w:val="both"/>
        <w:rPr>
          <w:rFonts w:ascii="Cambria" w:hAnsi="Cambria"/>
        </w:rPr>
      </w:pPr>
      <w:r w:rsidRPr="00D377FA">
        <w:rPr>
          <w:rFonts w:ascii="Cambria" w:hAnsi="Cambria"/>
        </w:rPr>
        <w:t>Supresión del «opt-out» (salvo Irlanda y UK) en Schengen.</w:t>
      </w:r>
    </w:p>
    <w:p w14:paraId="3C267742" w14:textId="77777777" w:rsidR="008A0AD0" w:rsidRPr="00D377FA" w:rsidRDefault="008A0AD0" w:rsidP="00D377FA">
      <w:pPr>
        <w:numPr>
          <w:ilvl w:val="0"/>
          <w:numId w:val="2"/>
        </w:numPr>
        <w:jc w:val="both"/>
        <w:rPr>
          <w:rFonts w:ascii="Cambria" w:hAnsi="Cambria"/>
        </w:rPr>
      </w:pPr>
      <w:r w:rsidRPr="00D377FA">
        <w:rPr>
          <w:rFonts w:ascii="Cambria" w:hAnsi="Cambria"/>
          <w:b/>
          <w:bCs/>
        </w:rPr>
        <w:t>Tratado de Niza (2001):</w:t>
      </w:r>
    </w:p>
    <w:p w14:paraId="2AB9F54C" w14:textId="34147496" w:rsidR="008A0AD0" w:rsidRPr="00D377FA" w:rsidRDefault="008A0AD0" w:rsidP="00D377FA">
      <w:pPr>
        <w:numPr>
          <w:ilvl w:val="1"/>
          <w:numId w:val="2"/>
        </w:numPr>
        <w:jc w:val="both"/>
        <w:rPr>
          <w:rFonts w:ascii="Cambria" w:hAnsi="Cambria"/>
        </w:rPr>
      </w:pPr>
      <w:r w:rsidRPr="00D377FA">
        <w:rPr>
          <w:rFonts w:ascii="Cambria" w:hAnsi="Cambria"/>
        </w:rPr>
        <w:t>Reforma institucional para la ampliación de 2004.</w:t>
      </w:r>
    </w:p>
    <w:p w14:paraId="3B0421AD" w14:textId="77777777" w:rsidR="008A0AD0" w:rsidRPr="00D377FA" w:rsidRDefault="008A0AD0" w:rsidP="00D377FA">
      <w:pPr>
        <w:numPr>
          <w:ilvl w:val="0"/>
          <w:numId w:val="2"/>
        </w:numPr>
        <w:jc w:val="both"/>
        <w:rPr>
          <w:rFonts w:ascii="Cambria" w:hAnsi="Cambria"/>
        </w:rPr>
      </w:pPr>
      <w:r w:rsidRPr="00D377FA">
        <w:rPr>
          <w:rFonts w:ascii="Cambria" w:hAnsi="Cambria"/>
          <w:b/>
          <w:bCs/>
        </w:rPr>
        <w:t>Tratado de Lisboa (2007, vigor 2009):</w:t>
      </w:r>
    </w:p>
    <w:p w14:paraId="288CC51D" w14:textId="77777777" w:rsidR="008A0AD0" w:rsidRPr="00D377FA" w:rsidRDefault="008A0AD0" w:rsidP="00D377FA">
      <w:pPr>
        <w:numPr>
          <w:ilvl w:val="1"/>
          <w:numId w:val="2"/>
        </w:numPr>
        <w:jc w:val="both"/>
        <w:rPr>
          <w:rFonts w:ascii="Cambria" w:hAnsi="Cambria"/>
        </w:rPr>
      </w:pPr>
      <w:r w:rsidRPr="00D377FA">
        <w:rPr>
          <w:rFonts w:ascii="Cambria" w:hAnsi="Cambria"/>
          <w:b/>
          <w:bCs/>
        </w:rPr>
        <w:t>Consejo Europeo:</w:t>
      </w:r>
      <w:r w:rsidRPr="00D377FA">
        <w:rPr>
          <w:rFonts w:ascii="Cambria" w:hAnsi="Cambria"/>
        </w:rPr>
        <w:t xml:space="preserve"> Presidente fijo (2,5 años).</w:t>
      </w:r>
    </w:p>
    <w:p w14:paraId="3B72A627" w14:textId="77777777" w:rsidR="008A0AD0" w:rsidRPr="00D377FA" w:rsidRDefault="008A0AD0" w:rsidP="00D377FA">
      <w:pPr>
        <w:numPr>
          <w:ilvl w:val="1"/>
          <w:numId w:val="2"/>
        </w:numPr>
        <w:jc w:val="both"/>
        <w:rPr>
          <w:rFonts w:ascii="Cambria" w:hAnsi="Cambria"/>
        </w:rPr>
      </w:pPr>
      <w:r w:rsidRPr="00D377FA">
        <w:rPr>
          <w:rFonts w:ascii="Cambria" w:hAnsi="Cambria"/>
          <w:b/>
          <w:bCs/>
        </w:rPr>
        <w:t>Alto Representante:</w:t>
      </w:r>
      <w:r w:rsidRPr="00D377FA">
        <w:rPr>
          <w:rFonts w:ascii="Cambria" w:hAnsi="Cambria"/>
        </w:rPr>
        <w:t xml:space="preserve"> Fortalecido, Vicepresidente de la Comisión y preside el Consejo de Asuntos Exteriores. Creación del </w:t>
      </w:r>
      <w:r w:rsidRPr="00D377FA">
        <w:rPr>
          <w:rFonts w:ascii="Cambria" w:hAnsi="Cambria"/>
          <w:u w:val="single"/>
        </w:rPr>
        <w:t>SEAE.</w:t>
      </w:r>
    </w:p>
    <w:p w14:paraId="385CFDFC" w14:textId="77777777" w:rsidR="008A0AD0" w:rsidRPr="00D377FA" w:rsidRDefault="008A0AD0" w:rsidP="00D377FA">
      <w:pPr>
        <w:numPr>
          <w:ilvl w:val="1"/>
          <w:numId w:val="2"/>
        </w:numPr>
        <w:jc w:val="both"/>
        <w:rPr>
          <w:rFonts w:ascii="Cambria" w:hAnsi="Cambria"/>
        </w:rPr>
      </w:pPr>
      <w:r w:rsidRPr="00D377FA">
        <w:rPr>
          <w:rFonts w:ascii="Cambria" w:hAnsi="Cambria"/>
          <w:b/>
          <w:bCs/>
        </w:rPr>
        <w:t>Parlamento Europeo:</w:t>
      </w:r>
      <w:r w:rsidRPr="00D377FA">
        <w:rPr>
          <w:rFonts w:ascii="Cambria" w:hAnsi="Cambria"/>
        </w:rPr>
        <w:t xml:space="preserve"> Pie de igualdad con el Consejo (Procedimiento Legislativo Ordinario en 73 áreas). Codecisión plena en presupuesto. Elige al Presidente de la Comisión.</w:t>
      </w:r>
    </w:p>
    <w:p w14:paraId="628881E3" w14:textId="77777777" w:rsidR="008A0AD0" w:rsidRPr="00D377FA" w:rsidRDefault="008A0AD0" w:rsidP="00D377FA">
      <w:pPr>
        <w:numPr>
          <w:ilvl w:val="1"/>
          <w:numId w:val="2"/>
        </w:numPr>
        <w:jc w:val="both"/>
        <w:rPr>
          <w:rFonts w:ascii="Cambria" w:hAnsi="Cambria"/>
        </w:rPr>
      </w:pPr>
      <w:r w:rsidRPr="00D377FA">
        <w:rPr>
          <w:rFonts w:ascii="Cambria" w:hAnsi="Cambria"/>
          <w:b/>
          <w:bCs/>
        </w:rPr>
        <w:t>Comisión:</w:t>
      </w:r>
      <w:r w:rsidRPr="00D377FA">
        <w:rPr>
          <w:rFonts w:ascii="Cambria" w:hAnsi="Cambria"/>
        </w:rPr>
        <w:t xml:space="preserve"> Reducción de miembros prevista, pero modificada para garantizar un comisario por país.</w:t>
      </w:r>
    </w:p>
    <w:p w14:paraId="29EBDD66" w14:textId="77777777" w:rsidR="008A0AD0" w:rsidRPr="00D377FA" w:rsidRDefault="008A0AD0" w:rsidP="00D377FA">
      <w:pPr>
        <w:numPr>
          <w:ilvl w:val="1"/>
          <w:numId w:val="2"/>
        </w:numPr>
        <w:jc w:val="both"/>
        <w:rPr>
          <w:rFonts w:ascii="Cambria" w:hAnsi="Cambria"/>
        </w:rPr>
      </w:pPr>
      <w:r w:rsidRPr="00D377FA">
        <w:rPr>
          <w:rFonts w:ascii="Cambria" w:hAnsi="Cambria"/>
          <w:b/>
          <w:bCs/>
        </w:rPr>
        <w:t>Parlamentos Nacionales:</w:t>
      </w:r>
      <w:r w:rsidRPr="00D377FA">
        <w:rPr>
          <w:rFonts w:ascii="Cambria" w:hAnsi="Cambria"/>
        </w:rPr>
        <w:t xml:space="preserve"> Control del Principio de Subsidiariedad.</w:t>
      </w:r>
    </w:p>
    <w:p w14:paraId="5899562A" w14:textId="77777777" w:rsidR="008A0AD0" w:rsidRPr="00D377FA" w:rsidRDefault="008A0AD0" w:rsidP="00D377FA">
      <w:pPr>
        <w:numPr>
          <w:ilvl w:val="1"/>
          <w:numId w:val="2"/>
        </w:numPr>
        <w:jc w:val="both"/>
        <w:rPr>
          <w:rFonts w:ascii="Cambria" w:hAnsi="Cambria"/>
        </w:rPr>
      </w:pPr>
      <w:r w:rsidRPr="00D377FA">
        <w:rPr>
          <w:rFonts w:ascii="Cambria" w:hAnsi="Cambria"/>
          <w:b/>
          <w:bCs/>
        </w:rPr>
        <w:t>Voto:</w:t>
      </w:r>
      <w:r w:rsidRPr="00D377FA">
        <w:rPr>
          <w:rFonts w:ascii="Cambria" w:hAnsi="Cambria"/>
        </w:rPr>
        <w:t xml:space="preserve"> Sistema de </w:t>
      </w:r>
      <w:r w:rsidRPr="00D377FA">
        <w:rPr>
          <w:rFonts w:ascii="Cambria" w:hAnsi="Cambria"/>
          <w:b/>
          <w:bCs/>
        </w:rPr>
        <w:t>Doble Mayoría</w:t>
      </w:r>
      <w:r w:rsidRPr="00D377FA">
        <w:rPr>
          <w:rFonts w:ascii="Cambria" w:hAnsi="Cambria"/>
        </w:rPr>
        <w:t xml:space="preserve"> (55% Estados / 65% población).</w:t>
      </w:r>
    </w:p>
    <w:p w14:paraId="0D8B675F" w14:textId="5439D250" w:rsidR="008A0AD0" w:rsidRPr="00D377FA" w:rsidRDefault="008A0AD0" w:rsidP="00D377FA">
      <w:pPr>
        <w:numPr>
          <w:ilvl w:val="1"/>
          <w:numId w:val="2"/>
        </w:numPr>
        <w:jc w:val="both"/>
        <w:rPr>
          <w:rFonts w:ascii="Cambria" w:hAnsi="Cambria"/>
        </w:rPr>
      </w:pPr>
      <w:r w:rsidRPr="00D377FA">
        <w:rPr>
          <w:rFonts w:ascii="Cambria" w:hAnsi="Cambria"/>
          <w:b/>
          <w:bCs/>
        </w:rPr>
        <w:t>Iniciativa Ciudadana Europea:</w:t>
      </w:r>
      <w:r w:rsidRPr="00D377FA">
        <w:rPr>
          <w:rFonts w:ascii="Cambria" w:hAnsi="Cambria"/>
        </w:rPr>
        <w:t xml:space="preserve"> 1 millón de firmas.</w:t>
      </w:r>
    </w:p>
    <w:p w14:paraId="38096062" w14:textId="2191794B" w:rsidR="008A0AD0" w:rsidRPr="00D377FA" w:rsidRDefault="008A0AD0" w:rsidP="00D377FA">
      <w:pPr>
        <w:numPr>
          <w:ilvl w:val="1"/>
          <w:numId w:val="2"/>
        </w:numPr>
        <w:jc w:val="both"/>
        <w:rPr>
          <w:rFonts w:ascii="Cambria" w:hAnsi="Cambria"/>
        </w:rPr>
      </w:pPr>
      <w:r w:rsidRPr="00D377FA">
        <w:rPr>
          <w:rFonts w:ascii="Cambria" w:hAnsi="Cambria"/>
          <w:b/>
          <w:bCs/>
        </w:rPr>
        <w:t>Retirada (Art. 50 TUE):</w:t>
      </w:r>
      <w:r w:rsidRPr="00D377FA">
        <w:rPr>
          <w:rFonts w:ascii="Cambria" w:hAnsi="Cambria"/>
        </w:rPr>
        <w:t xml:space="preserve"> Procedimiento voluntario de salida.</w:t>
      </w:r>
    </w:p>
    <w:p w14:paraId="5AC36445" w14:textId="64E6E771" w:rsidR="008A0AD0" w:rsidRPr="00D377FA" w:rsidRDefault="008A0AD0" w:rsidP="00D377FA">
      <w:pPr>
        <w:pStyle w:val="Ttulo1"/>
        <w:jc w:val="both"/>
        <w:rPr>
          <w:rFonts w:ascii="Cambria" w:hAnsi="Cambria"/>
          <w:b/>
          <w:bCs/>
          <w:color w:val="auto"/>
          <w:sz w:val="28"/>
          <w:szCs w:val="28"/>
        </w:rPr>
      </w:pPr>
      <w:r w:rsidRPr="00D377FA">
        <w:rPr>
          <w:rFonts w:ascii="Cambria" w:hAnsi="Cambria"/>
          <w:b/>
          <w:bCs/>
          <w:color w:val="auto"/>
          <w:sz w:val="28"/>
          <w:szCs w:val="28"/>
        </w:rPr>
        <w:t xml:space="preserve">3. Procedimientos de Toma de Decisiones </w:t>
      </w:r>
    </w:p>
    <w:p w14:paraId="14EA8EA6" w14:textId="7113039C" w:rsidR="008A0AD0" w:rsidRPr="00D377FA" w:rsidRDefault="008A0AD0" w:rsidP="00D377FA">
      <w:pPr>
        <w:jc w:val="both"/>
        <w:rPr>
          <w:rFonts w:ascii="Cambria" w:hAnsi="Cambria"/>
        </w:rPr>
      </w:pPr>
      <w:r w:rsidRPr="00D377FA">
        <w:rPr>
          <w:rFonts w:ascii="Cambria" w:hAnsi="Cambria"/>
        </w:rPr>
        <w:t>El Derecho Derivado (Reglamentos, Directivas, Decisiones) se basa en el Originario.</w:t>
      </w:r>
    </w:p>
    <w:p w14:paraId="056F3925" w14:textId="60032E9D" w:rsidR="008A0AD0" w:rsidRPr="00D377FA" w:rsidRDefault="008A0AD0" w:rsidP="00D377FA">
      <w:pPr>
        <w:numPr>
          <w:ilvl w:val="0"/>
          <w:numId w:val="3"/>
        </w:numPr>
        <w:jc w:val="both"/>
        <w:rPr>
          <w:rFonts w:ascii="Cambria" w:hAnsi="Cambria"/>
        </w:rPr>
      </w:pPr>
      <w:r w:rsidRPr="00D377FA">
        <w:rPr>
          <w:rFonts w:ascii="Cambria" w:hAnsi="Cambria"/>
          <w:b/>
          <w:bCs/>
        </w:rPr>
        <w:t>Procedimiento Legislativo Ordinario</w:t>
      </w:r>
      <w:r w:rsidR="004B6E03" w:rsidRPr="00D377FA">
        <w:rPr>
          <w:rFonts w:ascii="Cambria" w:hAnsi="Cambria"/>
          <w:b/>
          <w:bCs/>
        </w:rPr>
        <w:t>:</w:t>
      </w:r>
    </w:p>
    <w:p w14:paraId="16EFF4D2" w14:textId="662C92EF" w:rsidR="008A0AD0" w:rsidRPr="00D377FA" w:rsidRDefault="008A0AD0" w:rsidP="00D377FA">
      <w:pPr>
        <w:numPr>
          <w:ilvl w:val="1"/>
          <w:numId w:val="3"/>
        </w:numPr>
        <w:jc w:val="both"/>
        <w:rPr>
          <w:rFonts w:ascii="Cambria" w:hAnsi="Cambria"/>
        </w:rPr>
      </w:pPr>
      <w:r w:rsidRPr="00D377FA">
        <w:rPr>
          <w:rFonts w:ascii="Cambria" w:hAnsi="Cambria"/>
        </w:rPr>
        <w:t>Principal procedimiento.</w:t>
      </w:r>
    </w:p>
    <w:p w14:paraId="0E8FCE7F" w14:textId="77777777" w:rsidR="008A0AD0" w:rsidRPr="00D377FA" w:rsidRDefault="008A0AD0" w:rsidP="00D377FA">
      <w:pPr>
        <w:numPr>
          <w:ilvl w:val="1"/>
          <w:numId w:val="3"/>
        </w:numPr>
        <w:jc w:val="both"/>
        <w:rPr>
          <w:rFonts w:ascii="Cambria" w:hAnsi="Cambria"/>
        </w:rPr>
      </w:pPr>
      <w:r w:rsidRPr="00D377FA">
        <w:rPr>
          <w:rFonts w:ascii="Cambria" w:hAnsi="Cambria"/>
        </w:rPr>
        <w:t>Parlamento y Consejo tienen el mismo peso.</w:t>
      </w:r>
    </w:p>
    <w:p w14:paraId="3DF18613" w14:textId="77777777" w:rsidR="008A0AD0" w:rsidRPr="00D377FA" w:rsidRDefault="008A0AD0" w:rsidP="00D377FA">
      <w:pPr>
        <w:numPr>
          <w:ilvl w:val="1"/>
          <w:numId w:val="3"/>
        </w:numPr>
        <w:jc w:val="both"/>
        <w:rPr>
          <w:rFonts w:ascii="Cambria" w:hAnsi="Cambria"/>
        </w:rPr>
      </w:pPr>
      <w:r w:rsidRPr="00D377FA">
        <w:rPr>
          <w:rFonts w:ascii="Cambria" w:hAnsi="Cambria"/>
        </w:rPr>
        <w:t>Adopción conjunta de propuestas de la Comisión.</w:t>
      </w:r>
    </w:p>
    <w:p w14:paraId="75B1599F" w14:textId="017E74E2" w:rsidR="008A0AD0" w:rsidRPr="00D377FA" w:rsidRDefault="008A0AD0" w:rsidP="00D377FA">
      <w:pPr>
        <w:numPr>
          <w:ilvl w:val="1"/>
          <w:numId w:val="3"/>
        </w:numPr>
        <w:jc w:val="both"/>
        <w:rPr>
          <w:rFonts w:ascii="Cambria" w:hAnsi="Cambria"/>
        </w:rPr>
      </w:pPr>
      <w:r w:rsidRPr="00D377FA">
        <w:rPr>
          <w:rFonts w:ascii="Cambria" w:hAnsi="Cambria"/>
        </w:rPr>
        <w:t>Si no hay acuerdo en 2ª lectura Comité de Conciliación.</w:t>
      </w:r>
    </w:p>
    <w:p w14:paraId="2FC816FC" w14:textId="77777777" w:rsidR="008A0AD0" w:rsidRPr="00D377FA" w:rsidRDefault="008A0AD0" w:rsidP="00D377FA">
      <w:pPr>
        <w:numPr>
          <w:ilvl w:val="0"/>
          <w:numId w:val="3"/>
        </w:numPr>
        <w:jc w:val="both"/>
        <w:rPr>
          <w:rFonts w:ascii="Cambria" w:hAnsi="Cambria"/>
        </w:rPr>
      </w:pPr>
      <w:r w:rsidRPr="00D377FA">
        <w:rPr>
          <w:rFonts w:ascii="Cambria" w:hAnsi="Cambria"/>
          <w:b/>
          <w:bCs/>
        </w:rPr>
        <w:t>Procedimiento de Consulta:</w:t>
      </w:r>
      <w:r w:rsidRPr="00D377FA">
        <w:rPr>
          <w:rFonts w:ascii="Cambria" w:hAnsi="Cambria"/>
        </w:rPr>
        <w:t xml:space="preserve"> El Consejo consulta al PE (dictamen no vinculante, pero obligatorio pedirlo).</w:t>
      </w:r>
    </w:p>
    <w:p w14:paraId="2A267C84" w14:textId="443D4AE7" w:rsidR="008A0AD0" w:rsidRPr="00D377FA" w:rsidRDefault="008A0AD0" w:rsidP="00D377FA">
      <w:pPr>
        <w:numPr>
          <w:ilvl w:val="0"/>
          <w:numId w:val="3"/>
        </w:numPr>
        <w:jc w:val="both"/>
        <w:rPr>
          <w:rFonts w:ascii="Cambria" w:hAnsi="Cambria"/>
        </w:rPr>
      </w:pPr>
      <w:r w:rsidRPr="00D377FA">
        <w:rPr>
          <w:rFonts w:ascii="Cambria" w:hAnsi="Cambria"/>
          <w:b/>
          <w:bCs/>
        </w:rPr>
        <w:t xml:space="preserve">Procedimiento de Aprobación </w:t>
      </w:r>
      <w:r w:rsidRPr="00D377FA">
        <w:rPr>
          <w:rFonts w:ascii="Cambria" w:hAnsi="Cambria"/>
        </w:rPr>
        <w:t>El PE debe aceptar o rechazar una propuesta en bloque (no puede enmendar). Requerido para decisiones importantes.</w:t>
      </w:r>
    </w:p>
    <w:p w14:paraId="2183ABEC" w14:textId="6346804B" w:rsidR="008A0AD0" w:rsidRPr="00D377FA" w:rsidRDefault="008A0AD0" w:rsidP="00D377FA">
      <w:pPr>
        <w:jc w:val="both"/>
        <w:rPr>
          <w:rFonts w:ascii="Cambria" w:hAnsi="Cambria"/>
          <w:b/>
          <w:bCs/>
          <w:u w:val="single"/>
        </w:rPr>
      </w:pPr>
      <w:r w:rsidRPr="00D377FA">
        <w:rPr>
          <w:rFonts w:ascii="Cambria" w:hAnsi="Cambria"/>
          <w:b/>
          <w:bCs/>
          <w:u w:val="single"/>
        </w:rPr>
        <w:t>Tipos de Actos Legislativos</w:t>
      </w:r>
    </w:p>
    <w:p w14:paraId="536739A6" w14:textId="77777777" w:rsidR="008A0AD0" w:rsidRPr="00D377FA" w:rsidRDefault="008A0AD0" w:rsidP="00D377FA">
      <w:pPr>
        <w:numPr>
          <w:ilvl w:val="0"/>
          <w:numId w:val="4"/>
        </w:numPr>
        <w:jc w:val="both"/>
        <w:rPr>
          <w:rFonts w:ascii="Cambria" w:hAnsi="Cambria"/>
        </w:rPr>
      </w:pPr>
      <w:r w:rsidRPr="00D377FA">
        <w:rPr>
          <w:rFonts w:ascii="Cambria" w:hAnsi="Cambria"/>
          <w:b/>
          <w:bCs/>
        </w:rPr>
        <w:lastRenderedPageBreak/>
        <w:t>Reglamentos:</w:t>
      </w:r>
      <w:r w:rsidRPr="00D377FA">
        <w:rPr>
          <w:rFonts w:ascii="Cambria" w:hAnsi="Cambria"/>
        </w:rPr>
        <w:t xml:space="preserve"> Directamente vinculantes en toda la UE.</w:t>
      </w:r>
    </w:p>
    <w:p w14:paraId="3A1B88FF" w14:textId="0DE83A4A" w:rsidR="008A0AD0" w:rsidRPr="00D377FA" w:rsidRDefault="008A0AD0" w:rsidP="00D377FA">
      <w:pPr>
        <w:numPr>
          <w:ilvl w:val="0"/>
          <w:numId w:val="4"/>
        </w:numPr>
        <w:jc w:val="both"/>
        <w:rPr>
          <w:rFonts w:ascii="Cambria" w:hAnsi="Cambria"/>
        </w:rPr>
      </w:pPr>
      <w:r w:rsidRPr="00D377FA">
        <w:rPr>
          <w:rFonts w:ascii="Cambria" w:hAnsi="Cambria"/>
          <w:b/>
          <w:bCs/>
        </w:rPr>
        <w:t>Directivas:</w:t>
      </w:r>
      <w:r w:rsidRPr="00D377FA">
        <w:rPr>
          <w:rFonts w:ascii="Cambria" w:hAnsi="Cambria"/>
        </w:rPr>
        <w:t xml:space="preserve"> Fijan resultados a conseguir; los EEMM eligen la forma.</w:t>
      </w:r>
    </w:p>
    <w:p w14:paraId="4D63637F" w14:textId="77777777" w:rsidR="008A0AD0" w:rsidRPr="00D377FA" w:rsidRDefault="008A0AD0" w:rsidP="00D377FA">
      <w:pPr>
        <w:numPr>
          <w:ilvl w:val="0"/>
          <w:numId w:val="4"/>
        </w:numPr>
        <w:jc w:val="both"/>
        <w:rPr>
          <w:rFonts w:ascii="Cambria" w:hAnsi="Cambria"/>
        </w:rPr>
      </w:pPr>
      <w:r w:rsidRPr="00D377FA">
        <w:rPr>
          <w:rFonts w:ascii="Cambria" w:hAnsi="Cambria"/>
          <w:b/>
          <w:bCs/>
        </w:rPr>
        <w:t>Decisiones:</w:t>
      </w:r>
      <w:r w:rsidRPr="00D377FA">
        <w:rPr>
          <w:rFonts w:ascii="Cambria" w:hAnsi="Cambria"/>
        </w:rPr>
        <w:t xml:space="preserve"> Vinculantes para destinatarios específicos.</w:t>
      </w:r>
    </w:p>
    <w:p w14:paraId="78ECD633" w14:textId="77777777" w:rsidR="008A0AD0" w:rsidRPr="00D377FA" w:rsidRDefault="008A0AD0" w:rsidP="00D377FA">
      <w:pPr>
        <w:pStyle w:val="Ttulo1"/>
        <w:jc w:val="both"/>
        <w:rPr>
          <w:rFonts w:ascii="Cambria" w:hAnsi="Cambria"/>
          <w:b/>
          <w:bCs/>
          <w:color w:val="auto"/>
          <w:sz w:val="28"/>
          <w:szCs w:val="28"/>
        </w:rPr>
      </w:pPr>
      <w:r w:rsidRPr="00D377FA">
        <w:rPr>
          <w:rFonts w:ascii="Cambria" w:hAnsi="Cambria"/>
          <w:b/>
          <w:bCs/>
          <w:color w:val="auto"/>
          <w:sz w:val="28"/>
          <w:szCs w:val="28"/>
        </w:rPr>
        <w:t>4. Las Instituciones</w:t>
      </w:r>
    </w:p>
    <w:p w14:paraId="30E26547" w14:textId="57B67532" w:rsidR="008A0AD0" w:rsidRPr="00D377FA" w:rsidRDefault="008A0AD0" w:rsidP="00D377FA">
      <w:pPr>
        <w:jc w:val="both"/>
        <w:rPr>
          <w:rFonts w:ascii="Cambria" w:hAnsi="Cambria"/>
          <w:b/>
          <w:bCs/>
          <w:u w:val="single"/>
        </w:rPr>
      </w:pPr>
      <w:r w:rsidRPr="00D377FA">
        <w:rPr>
          <w:rFonts w:ascii="Cambria" w:hAnsi="Cambria"/>
          <w:b/>
          <w:bCs/>
          <w:u w:val="single"/>
        </w:rPr>
        <w:t>Consejo Europeo</w:t>
      </w:r>
    </w:p>
    <w:p w14:paraId="78542D48" w14:textId="77777777" w:rsidR="008A0AD0" w:rsidRPr="00D377FA" w:rsidRDefault="008A0AD0" w:rsidP="00D377FA">
      <w:pPr>
        <w:numPr>
          <w:ilvl w:val="0"/>
          <w:numId w:val="5"/>
        </w:numPr>
        <w:jc w:val="both"/>
        <w:rPr>
          <w:rFonts w:ascii="Cambria" w:hAnsi="Cambria"/>
        </w:rPr>
      </w:pPr>
      <w:r w:rsidRPr="00D377FA">
        <w:rPr>
          <w:rFonts w:ascii="Cambria" w:hAnsi="Cambria"/>
          <w:b/>
          <w:bCs/>
        </w:rPr>
        <w:t>Naturaleza:</w:t>
      </w:r>
      <w:r w:rsidRPr="00D377FA">
        <w:rPr>
          <w:rFonts w:ascii="Cambria" w:hAnsi="Cambria"/>
        </w:rPr>
        <w:t xml:space="preserve"> Institución oficial desde Lisboa (2009). Máximo órgano político.</w:t>
      </w:r>
      <w:r w:rsidRPr="00D377FA">
        <w:rPr>
          <w:rFonts w:ascii="Cambria" w:hAnsi="Cambria"/>
          <w:u w:val="single"/>
        </w:rPr>
        <w:t xml:space="preserve"> No legisla.</w:t>
      </w:r>
    </w:p>
    <w:p w14:paraId="505A10DA" w14:textId="1E94EA96" w:rsidR="008A0AD0" w:rsidRPr="00D377FA" w:rsidRDefault="008A0AD0" w:rsidP="00D377FA">
      <w:pPr>
        <w:numPr>
          <w:ilvl w:val="0"/>
          <w:numId w:val="5"/>
        </w:numPr>
        <w:jc w:val="both"/>
        <w:rPr>
          <w:rFonts w:ascii="Cambria" w:hAnsi="Cambria"/>
        </w:rPr>
      </w:pPr>
      <w:r w:rsidRPr="00D377FA">
        <w:rPr>
          <w:rFonts w:ascii="Cambria" w:hAnsi="Cambria"/>
          <w:b/>
          <w:bCs/>
        </w:rPr>
        <w:t>Composición:</w:t>
      </w:r>
      <w:r w:rsidRPr="00D377FA">
        <w:rPr>
          <w:rFonts w:ascii="Cambria" w:hAnsi="Cambria"/>
        </w:rPr>
        <w:t xml:space="preserve"> Jefes de Estado/Gobierno + Presidente del Consejo Europeo + Presidente Comisión + Alto Representante.</w:t>
      </w:r>
    </w:p>
    <w:p w14:paraId="2A45520A" w14:textId="23BC3E88" w:rsidR="008A0AD0" w:rsidRPr="00D377FA" w:rsidRDefault="008A0AD0" w:rsidP="00D377FA">
      <w:pPr>
        <w:numPr>
          <w:ilvl w:val="0"/>
          <w:numId w:val="5"/>
        </w:numPr>
        <w:jc w:val="both"/>
        <w:rPr>
          <w:rFonts w:ascii="Cambria" w:hAnsi="Cambria"/>
        </w:rPr>
      </w:pPr>
      <w:r w:rsidRPr="00D377FA">
        <w:rPr>
          <w:rFonts w:ascii="Cambria" w:hAnsi="Cambria"/>
          <w:b/>
          <w:bCs/>
        </w:rPr>
        <w:t>Presidencia:</w:t>
      </w:r>
      <w:r w:rsidRPr="00D377FA">
        <w:rPr>
          <w:rFonts w:ascii="Cambria" w:hAnsi="Cambria"/>
        </w:rPr>
        <w:t xml:space="preserve"> Elegido por el propio Consejo por 2,5 años (renovable una vez). Actual: </w:t>
      </w:r>
      <w:r w:rsidR="004B6E03" w:rsidRPr="00D377FA">
        <w:rPr>
          <w:rFonts w:ascii="Cambria" w:hAnsi="Cambria"/>
          <w:u w:val="single"/>
        </w:rPr>
        <w:t>António Costa</w:t>
      </w:r>
      <w:r w:rsidRPr="00D377FA">
        <w:rPr>
          <w:rFonts w:ascii="Cambria" w:hAnsi="Cambria"/>
        </w:rPr>
        <w:t xml:space="preserve"> (jun22 – nov24).</w:t>
      </w:r>
    </w:p>
    <w:p w14:paraId="4069111D" w14:textId="77777777" w:rsidR="008A0AD0" w:rsidRPr="00D377FA" w:rsidRDefault="008A0AD0" w:rsidP="00D377FA">
      <w:pPr>
        <w:numPr>
          <w:ilvl w:val="0"/>
          <w:numId w:val="5"/>
        </w:numPr>
        <w:jc w:val="both"/>
        <w:rPr>
          <w:rFonts w:ascii="Cambria" w:hAnsi="Cambria"/>
        </w:rPr>
      </w:pPr>
      <w:r w:rsidRPr="00D377FA">
        <w:rPr>
          <w:rFonts w:ascii="Cambria" w:hAnsi="Cambria"/>
          <w:b/>
          <w:bCs/>
        </w:rPr>
        <w:t>Funciones:</w:t>
      </w:r>
      <w:r w:rsidRPr="00D377FA">
        <w:rPr>
          <w:rFonts w:ascii="Cambria" w:hAnsi="Cambria"/>
        </w:rPr>
        <w:t xml:space="preserve"> Define orientaciones y prioridades políticas generales. Política Exterior y Seguridad Común (PESC). Nombra altos cargos (BCE, Comisión).</w:t>
      </w:r>
    </w:p>
    <w:p w14:paraId="19C26A51" w14:textId="57C8A3A3" w:rsidR="008A0AD0" w:rsidRPr="00D377FA" w:rsidRDefault="008A0AD0" w:rsidP="00D377FA">
      <w:pPr>
        <w:numPr>
          <w:ilvl w:val="0"/>
          <w:numId w:val="5"/>
        </w:numPr>
        <w:jc w:val="both"/>
        <w:rPr>
          <w:rFonts w:ascii="Cambria" w:hAnsi="Cambria"/>
        </w:rPr>
      </w:pPr>
      <w:r w:rsidRPr="00D377FA">
        <w:rPr>
          <w:rFonts w:ascii="Cambria" w:hAnsi="Cambria"/>
          <w:b/>
          <w:bCs/>
        </w:rPr>
        <w:t>Reuniones:</w:t>
      </w:r>
      <w:r w:rsidRPr="00D377FA">
        <w:rPr>
          <w:rFonts w:ascii="Cambria" w:hAnsi="Cambria"/>
        </w:rPr>
        <w:t xml:space="preserve"> Mínimo 4 veces al año. Decisiones por </w:t>
      </w:r>
      <w:r w:rsidRPr="00D377FA">
        <w:rPr>
          <w:rFonts w:ascii="Cambria" w:hAnsi="Cambria"/>
          <w:u w:val="single"/>
        </w:rPr>
        <w:t>consenso</w:t>
      </w:r>
      <w:r w:rsidRPr="00D377FA">
        <w:rPr>
          <w:rFonts w:ascii="Cambria" w:hAnsi="Cambria"/>
        </w:rPr>
        <w:t>, unanimidad o mayoría cualificada.</w:t>
      </w:r>
    </w:p>
    <w:p w14:paraId="527564AA" w14:textId="5064B66A" w:rsidR="008A0AD0" w:rsidRPr="00D377FA" w:rsidRDefault="008A0AD0" w:rsidP="00D377FA">
      <w:pPr>
        <w:jc w:val="both"/>
        <w:rPr>
          <w:rFonts w:ascii="Cambria" w:hAnsi="Cambria"/>
          <w:b/>
          <w:bCs/>
          <w:u w:val="single"/>
        </w:rPr>
      </w:pPr>
      <w:r w:rsidRPr="00D377FA">
        <w:rPr>
          <w:rFonts w:ascii="Cambria" w:hAnsi="Cambria"/>
          <w:b/>
          <w:bCs/>
          <w:u w:val="single"/>
        </w:rPr>
        <w:t>Consejo de la Unión Europea (Consejo de Ministros)</w:t>
      </w:r>
    </w:p>
    <w:p w14:paraId="7CA3B348" w14:textId="153D0A18" w:rsidR="008A0AD0" w:rsidRPr="00D377FA" w:rsidRDefault="008A0AD0" w:rsidP="00D377FA">
      <w:pPr>
        <w:numPr>
          <w:ilvl w:val="0"/>
          <w:numId w:val="6"/>
        </w:numPr>
        <w:jc w:val="both"/>
        <w:rPr>
          <w:rFonts w:ascii="Cambria" w:hAnsi="Cambria"/>
        </w:rPr>
      </w:pPr>
      <w:r w:rsidRPr="00D377FA">
        <w:rPr>
          <w:rFonts w:ascii="Cambria" w:hAnsi="Cambria"/>
          <w:b/>
          <w:bCs/>
        </w:rPr>
        <w:t>Naturaleza:</w:t>
      </w:r>
      <w:r w:rsidRPr="00D377FA">
        <w:rPr>
          <w:rFonts w:ascii="Cambria" w:hAnsi="Cambria"/>
        </w:rPr>
        <w:t xml:space="preserve"> Principal </w:t>
      </w:r>
      <w:r w:rsidR="00F6007F" w:rsidRPr="00D377FA">
        <w:rPr>
          <w:rFonts w:ascii="Cambria" w:hAnsi="Cambria"/>
        </w:rPr>
        <w:t>órgano</w:t>
      </w:r>
      <w:r w:rsidRPr="00D377FA">
        <w:rPr>
          <w:rFonts w:ascii="Cambria" w:hAnsi="Cambria"/>
        </w:rPr>
        <w:t xml:space="preserve"> decisori</w:t>
      </w:r>
      <w:r w:rsidR="00F6007F" w:rsidRPr="00D377FA">
        <w:rPr>
          <w:rFonts w:ascii="Cambria" w:hAnsi="Cambria"/>
        </w:rPr>
        <w:t>o</w:t>
      </w:r>
      <w:r w:rsidRPr="00D377FA">
        <w:rPr>
          <w:rFonts w:ascii="Cambria" w:hAnsi="Cambria"/>
        </w:rPr>
        <w:t xml:space="preserve"> (junto al PE). Representa a los Gobiernos.</w:t>
      </w:r>
    </w:p>
    <w:p w14:paraId="2F21D615" w14:textId="77777777" w:rsidR="008A0AD0" w:rsidRPr="00D377FA" w:rsidRDefault="008A0AD0" w:rsidP="00D377FA">
      <w:pPr>
        <w:numPr>
          <w:ilvl w:val="0"/>
          <w:numId w:val="6"/>
        </w:numPr>
        <w:jc w:val="both"/>
        <w:rPr>
          <w:rFonts w:ascii="Cambria" w:hAnsi="Cambria"/>
        </w:rPr>
      </w:pPr>
      <w:r w:rsidRPr="00D377FA">
        <w:rPr>
          <w:rFonts w:ascii="Cambria" w:hAnsi="Cambria"/>
          <w:b/>
          <w:bCs/>
        </w:rPr>
        <w:t>Composición:</w:t>
      </w:r>
      <w:r w:rsidRPr="00D377FA">
        <w:rPr>
          <w:rFonts w:ascii="Cambria" w:hAnsi="Cambria"/>
        </w:rPr>
        <w:t xml:space="preserve"> Ministros competentes por materia. </w:t>
      </w:r>
      <w:r w:rsidRPr="00D377FA">
        <w:rPr>
          <w:rFonts w:ascii="Cambria" w:hAnsi="Cambria"/>
          <w:u w:val="single"/>
        </w:rPr>
        <w:t>10 formaciones</w:t>
      </w:r>
      <w:r w:rsidRPr="00D377FA">
        <w:rPr>
          <w:rFonts w:ascii="Cambria" w:hAnsi="Cambria"/>
        </w:rPr>
        <w:t xml:space="preserve"> (ej. CAG, ECOFIN, JAI, AGRIFISH).</w:t>
      </w:r>
    </w:p>
    <w:p w14:paraId="71F0A8F5" w14:textId="413F3A52" w:rsidR="008A0AD0" w:rsidRPr="00D377FA" w:rsidRDefault="00AA2060" w:rsidP="00D377FA">
      <w:pPr>
        <w:numPr>
          <w:ilvl w:val="0"/>
          <w:numId w:val="6"/>
        </w:numPr>
        <w:jc w:val="both"/>
        <w:rPr>
          <w:rFonts w:ascii="Cambria" w:hAnsi="Cambria"/>
        </w:rPr>
      </w:pPr>
      <w:r w:rsidRPr="00D377FA">
        <w:rPr>
          <w:rFonts w:ascii="Cambria" w:hAnsi="Cambria"/>
          <w:b/>
          <w:bCs/>
        </w:rPr>
        <w:t xml:space="preserve"> </w:t>
      </w:r>
      <w:r w:rsidR="008A0AD0" w:rsidRPr="00D377FA">
        <w:rPr>
          <w:rFonts w:ascii="Cambria" w:hAnsi="Cambria"/>
          <w:b/>
          <w:bCs/>
        </w:rPr>
        <w:t>Presidencia:</w:t>
      </w:r>
      <w:r w:rsidR="008A0AD0" w:rsidRPr="00D377FA">
        <w:rPr>
          <w:rFonts w:ascii="Cambria" w:hAnsi="Cambria"/>
        </w:rPr>
        <w:t xml:space="preserve"> Rotatoria semestral por EEMM. Sistema de Tríos (18 meses). 1</w:t>
      </w:r>
      <w:r w:rsidR="00603CCC" w:rsidRPr="00D377FA">
        <w:rPr>
          <w:rFonts w:ascii="Cambria" w:hAnsi="Cambria"/>
        </w:rPr>
        <w:t>3</w:t>
      </w:r>
      <w:r w:rsidR="008A0AD0" w:rsidRPr="00D377FA">
        <w:rPr>
          <w:rFonts w:ascii="Cambria" w:hAnsi="Cambria"/>
        </w:rPr>
        <w:t>º Trío (ju</w:t>
      </w:r>
      <w:r w:rsidR="00603CCC" w:rsidRPr="00D377FA">
        <w:rPr>
          <w:rFonts w:ascii="Cambria" w:hAnsi="Cambria"/>
        </w:rPr>
        <w:t>l25</w:t>
      </w:r>
      <w:r w:rsidR="008A0AD0" w:rsidRPr="00D377FA">
        <w:rPr>
          <w:rFonts w:ascii="Cambria" w:hAnsi="Cambria"/>
        </w:rPr>
        <w:t>-</w:t>
      </w:r>
      <w:r w:rsidR="00603CCC" w:rsidRPr="00D377FA">
        <w:rPr>
          <w:rFonts w:ascii="Cambria" w:hAnsi="Cambria"/>
        </w:rPr>
        <w:t>jun</w:t>
      </w:r>
      <w:r w:rsidR="008A0AD0" w:rsidRPr="00D377FA">
        <w:rPr>
          <w:rFonts w:ascii="Cambria" w:hAnsi="Cambria"/>
        </w:rPr>
        <w:t>2</w:t>
      </w:r>
      <w:r w:rsidR="00603CCC" w:rsidRPr="00D377FA">
        <w:rPr>
          <w:rFonts w:ascii="Cambria" w:hAnsi="Cambria"/>
        </w:rPr>
        <w:t>6</w:t>
      </w:r>
      <w:r w:rsidR="008A0AD0" w:rsidRPr="00D377FA">
        <w:rPr>
          <w:rFonts w:ascii="Cambria" w:hAnsi="Cambria"/>
        </w:rPr>
        <w:t>):</w:t>
      </w:r>
      <w:r w:rsidR="00603CCC" w:rsidRPr="00D377FA">
        <w:rPr>
          <w:rFonts w:ascii="Cambria" w:hAnsi="Cambria"/>
        </w:rPr>
        <w:t xml:space="preserve"> Polonia, Dinamarca y Chipre</w:t>
      </w:r>
      <w:r w:rsidR="008A0AD0" w:rsidRPr="00D377FA">
        <w:rPr>
          <w:rFonts w:ascii="Cambria" w:hAnsi="Cambria"/>
        </w:rPr>
        <w:t>.</w:t>
      </w:r>
    </w:p>
    <w:p w14:paraId="388EC2F4" w14:textId="60B0DC51" w:rsidR="008A0AD0" w:rsidRPr="00D377FA" w:rsidRDefault="008A0AD0" w:rsidP="00D377FA">
      <w:pPr>
        <w:numPr>
          <w:ilvl w:val="0"/>
          <w:numId w:val="6"/>
        </w:numPr>
        <w:jc w:val="both"/>
        <w:rPr>
          <w:rFonts w:ascii="Cambria" w:hAnsi="Cambria"/>
        </w:rPr>
      </w:pPr>
      <w:r w:rsidRPr="00D377FA">
        <w:rPr>
          <w:rFonts w:ascii="Cambria" w:hAnsi="Cambria"/>
          <w:b/>
          <w:bCs/>
        </w:rPr>
        <w:t>Funcionamiento:</w:t>
      </w:r>
      <w:r w:rsidRPr="00D377FA">
        <w:rPr>
          <w:rFonts w:ascii="Cambria" w:hAnsi="Cambria"/>
        </w:rPr>
        <w:t xml:space="preserve"> Asistido por el </w:t>
      </w:r>
      <w:r w:rsidRPr="00D377FA">
        <w:rPr>
          <w:rFonts w:ascii="Cambria" w:hAnsi="Cambria"/>
          <w:u w:val="single"/>
        </w:rPr>
        <w:t>COREPER</w:t>
      </w:r>
      <w:r w:rsidR="00603CCC" w:rsidRPr="00D377FA">
        <w:rPr>
          <w:rFonts w:ascii="Cambria" w:hAnsi="Cambria"/>
          <w:u w:val="single"/>
        </w:rPr>
        <w:t>.</w:t>
      </w:r>
    </w:p>
    <w:p w14:paraId="57D9DF89" w14:textId="77777777" w:rsidR="008A0AD0" w:rsidRPr="00D377FA" w:rsidRDefault="008A0AD0" w:rsidP="00D377FA">
      <w:pPr>
        <w:numPr>
          <w:ilvl w:val="0"/>
          <w:numId w:val="6"/>
        </w:numPr>
        <w:jc w:val="both"/>
        <w:rPr>
          <w:rFonts w:ascii="Cambria" w:hAnsi="Cambria"/>
        </w:rPr>
      </w:pPr>
      <w:r w:rsidRPr="00D377FA">
        <w:rPr>
          <w:rFonts w:ascii="Cambria" w:hAnsi="Cambria"/>
          <w:b/>
          <w:bCs/>
        </w:rPr>
        <w:t>Votación (Mayoría Cualificada - Doble Mayoría):</w:t>
      </w:r>
    </w:p>
    <w:p w14:paraId="5C615CE4" w14:textId="1C5A2EC3" w:rsidR="008A0AD0" w:rsidRPr="00D377FA" w:rsidRDefault="008A0AD0" w:rsidP="00D377FA">
      <w:pPr>
        <w:numPr>
          <w:ilvl w:val="1"/>
          <w:numId w:val="7"/>
        </w:numPr>
        <w:jc w:val="both"/>
        <w:rPr>
          <w:rFonts w:ascii="Cambria" w:hAnsi="Cambria"/>
        </w:rPr>
      </w:pPr>
      <w:r w:rsidRPr="00D377FA">
        <w:rPr>
          <w:rFonts w:ascii="Cambria" w:hAnsi="Cambria"/>
        </w:rPr>
        <w:t>55% de EEMM.</w:t>
      </w:r>
    </w:p>
    <w:p w14:paraId="1E3573AB" w14:textId="77777777" w:rsidR="008A0AD0" w:rsidRPr="00D377FA" w:rsidRDefault="008A0AD0" w:rsidP="00D377FA">
      <w:pPr>
        <w:numPr>
          <w:ilvl w:val="1"/>
          <w:numId w:val="7"/>
        </w:numPr>
        <w:jc w:val="both"/>
        <w:rPr>
          <w:rFonts w:ascii="Cambria" w:hAnsi="Cambria"/>
        </w:rPr>
      </w:pPr>
      <w:r w:rsidRPr="00D377FA">
        <w:rPr>
          <w:rFonts w:ascii="Cambria" w:hAnsi="Cambria"/>
        </w:rPr>
        <w:t>65% de la población de la UE.</w:t>
      </w:r>
    </w:p>
    <w:p w14:paraId="03A31CA0" w14:textId="77777777" w:rsidR="008A0AD0" w:rsidRPr="00D377FA" w:rsidRDefault="008A0AD0" w:rsidP="00D377FA">
      <w:pPr>
        <w:numPr>
          <w:ilvl w:val="1"/>
          <w:numId w:val="6"/>
        </w:numPr>
        <w:jc w:val="both"/>
        <w:rPr>
          <w:rFonts w:ascii="Cambria" w:hAnsi="Cambria"/>
        </w:rPr>
      </w:pPr>
      <w:r w:rsidRPr="00D377FA">
        <w:rPr>
          <w:rFonts w:ascii="Cambria" w:hAnsi="Cambria"/>
          <w:u w:val="single"/>
        </w:rPr>
        <w:t>Minoría de bloqueo</w:t>
      </w:r>
      <w:r w:rsidRPr="00D377FA">
        <w:rPr>
          <w:rFonts w:ascii="Cambria" w:hAnsi="Cambria"/>
        </w:rPr>
        <w:t>: Mínimo 4 Estados (+35% población).</w:t>
      </w:r>
    </w:p>
    <w:p w14:paraId="238DCDC4" w14:textId="77777777" w:rsidR="008A0AD0" w:rsidRPr="00D377FA" w:rsidRDefault="008A0AD0" w:rsidP="00D377FA">
      <w:pPr>
        <w:numPr>
          <w:ilvl w:val="1"/>
          <w:numId w:val="6"/>
        </w:numPr>
        <w:jc w:val="both"/>
        <w:rPr>
          <w:rFonts w:ascii="Cambria" w:hAnsi="Cambria"/>
        </w:rPr>
      </w:pPr>
      <w:r w:rsidRPr="00D377FA">
        <w:rPr>
          <w:rFonts w:ascii="Cambria" w:hAnsi="Cambria"/>
          <w:u w:val="single"/>
        </w:rPr>
        <w:t>Unanimidad</w:t>
      </w:r>
      <w:r w:rsidRPr="00D377FA">
        <w:rPr>
          <w:rFonts w:ascii="Cambria" w:hAnsi="Cambria"/>
        </w:rPr>
        <w:t>: Política exterior, fiscalidad.</w:t>
      </w:r>
    </w:p>
    <w:p w14:paraId="121B8F0E" w14:textId="3F92AA87" w:rsidR="008A0AD0" w:rsidRPr="00D377FA" w:rsidRDefault="008A0AD0" w:rsidP="00D377FA">
      <w:pPr>
        <w:numPr>
          <w:ilvl w:val="0"/>
          <w:numId w:val="6"/>
        </w:numPr>
        <w:jc w:val="both"/>
        <w:rPr>
          <w:rFonts w:ascii="Cambria" w:hAnsi="Cambria"/>
        </w:rPr>
      </w:pPr>
      <w:r w:rsidRPr="00D377FA">
        <w:rPr>
          <w:rFonts w:ascii="Cambria" w:hAnsi="Cambria"/>
          <w:b/>
          <w:bCs/>
        </w:rPr>
        <w:t>Misión:</w:t>
      </w:r>
      <w:r w:rsidRPr="00D377FA">
        <w:rPr>
          <w:rFonts w:ascii="Cambria" w:hAnsi="Cambria"/>
        </w:rPr>
        <w:t xml:space="preserve"> Legislación (con PE), Presupuesto (con PE), Coordinación económica, Política Exterior, Acuerdos internacionales.</w:t>
      </w:r>
    </w:p>
    <w:p w14:paraId="464BBE10" w14:textId="785E2715" w:rsidR="008A0AD0" w:rsidRPr="00D377FA" w:rsidRDefault="008A0AD0" w:rsidP="00D377FA">
      <w:pPr>
        <w:jc w:val="both"/>
        <w:rPr>
          <w:rFonts w:ascii="Cambria" w:hAnsi="Cambria"/>
          <w:b/>
          <w:bCs/>
          <w:u w:val="single"/>
        </w:rPr>
      </w:pPr>
      <w:r w:rsidRPr="00D377FA">
        <w:rPr>
          <w:rFonts w:ascii="Cambria" w:hAnsi="Cambria"/>
          <w:b/>
          <w:bCs/>
          <w:u w:val="single"/>
        </w:rPr>
        <w:t>Comisión Europea</w:t>
      </w:r>
    </w:p>
    <w:p w14:paraId="62C74B92" w14:textId="77777777" w:rsidR="008A0AD0" w:rsidRPr="00D377FA" w:rsidRDefault="008A0AD0" w:rsidP="00D377FA">
      <w:pPr>
        <w:numPr>
          <w:ilvl w:val="0"/>
          <w:numId w:val="8"/>
        </w:numPr>
        <w:jc w:val="both"/>
        <w:rPr>
          <w:rFonts w:ascii="Cambria" w:hAnsi="Cambria"/>
        </w:rPr>
      </w:pPr>
      <w:r w:rsidRPr="00D377FA">
        <w:rPr>
          <w:rFonts w:ascii="Cambria" w:hAnsi="Cambria"/>
          <w:b/>
          <w:bCs/>
        </w:rPr>
        <w:lastRenderedPageBreak/>
        <w:t>Naturaleza:</w:t>
      </w:r>
      <w:r w:rsidRPr="00D377FA">
        <w:rPr>
          <w:rFonts w:ascii="Cambria" w:hAnsi="Cambria"/>
        </w:rPr>
        <w:t xml:space="preserve"> Órgano Ejecutivo, políticamente independiente. Representa el interés de la Unión.</w:t>
      </w:r>
    </w:p>
    <w:p w14:paraId="12AAFF20" w14:textId="1B88BA9C" w:rsidR="008A0AD0" w:rsidRPr="00D377FA" w:rsidRDefault="008A0AD0" w:rsidP="00D377FA">
      <w:pPr>
        <w:numPr>
          <w:ilvl w:val="0"/>
          <w:numId w:val="8"/>
        </w:numPr>
        <w:jc w:val="both"/>
        <w:rPr>
          <w:rFonts w:ascii="Cambria" w:hAnsi="Cambria"/>
        </w:rPr>
      </w:pPr>
      <w:r w:rsidRPr="00D377FA">
        <w:rPr>
          <w:rFonts w:ascii="Cambria" w:hAnsi="Cambria"/>
          <w:b/>
          <w:bCs/>
        </w:rPr>
        <w:t>Composición:</w:t>
      </w:r>
      <w:r w:rsidRPr="00D377FA">
        <w:rPr>
          <w:rFonts w:ascii="Cambria" w:hAnsi="Cambria"/>
        </w:rPr>
        <w:t xml:space="preserve"> 27 Comisarios (1 por EEMM). Mandato de 5 años.</w:t>
      </w:r>
    </w:p>
    <w:p w14:paraId="450A355B" w14:textId="77777777" w:rsidR="008A0AD0" w:rsidRPr="00D377FA" w:rsidRDefault="008A0AD0" w:rsidP="00D377FA">
      <w:pPr>
        <w:numPr>
          <w:ilvl w:val="1"/>
          <w:numId w:val="8"/>
        </w:numPr>
        <w:jc w:val="both"/>
        <w:rPr>
          <w:rFonts w:ascii="Cambria" w:hAnsi="Cambria"/>
        </w:rPr>
      </w:pPr>
      <w:r w:rsidRPr="00D377FA">
        <w:rPr>
          <w:rFonts w:ascii="Cambria" w:hAnsi="Cambria"/>
          <w:b/>
          <w:bCs/>
        </w:rPr>
        <w:t>Presidenta:</w:t>
      </w:r>
      <w:r w:rsidRPr="00D377FA">
        <w:rPr>
          <w:rFonts w:ascii="Cambria" w:hAnsi="Cambria"/>
        </w:rPr>
        <w:t xml:space="preserve"> </w:t>
      </w:r>
      <w:r w:rsidRPr="00D377FA">
        <w:rPr>
          <w:rFonts w:ascii="Cambria" w:hAnsi="Cambria"/>
          <w:u w:val="single"/>
        </w:rPr>
        <w:t>Ursula von der Leyen</w:t>
      </w:r>
      <w:r w:rsidRPr="00D377FA">
        <w:rPr>
          <w:rFonts w:ascii="Cambria" w:hAnsi="Cambria"/>
        </w:rPr>
        <w:t xml:space="preserve"> (jul2024 – dic2029). Elegida por el PE a propuesta del Consejo Europeo.</w:t>
      </w:r>
    </w:p>
    <w:p w14:paraId="33ADCFE2" w14:textId="77777777" w:rsidR="008A0AD0" w:rsidRPr="00D377FA" w:rsidRDefault="008A0AD0" w:rsidP="00D377FA">
      <w:pPr>
        <w:numPr>
          <w:ilvl w:val="1"/>
          <w:numId w:val="8"/>
        </w:numPr>
        <w:jc w:val="both"/>
        <w:rPr>
          <w:rFonts w:ascii="Cambria" w:hAnsi="Cambria"/>
        </w:rPr>
      </w:pPr>
      <w:r w:rsidRPr="00D377FA">
        <w:rPr>
          <w:rFonts w:ascii="Cambria" w:hAnsi="Cambria"/>
        </w:rPr>
        <w:t>Alto Representante: Vicepresidente de la Comisión.</w:t>
      </w:r>
    </w:p>
    <w:p w14:paraId="2E0CD331" w14:textId="3AC4DA1C" w:rsidR="008A0AD0" w:rsidRPr="00D377FA" w:rsidRDefault="008A0AD0" w:rsidP="00D377FA">
      <w:pPr>
        <w:numPr>
          <w:ilvl w:val="0"/>
          <w:numId w:val="8"/>
        </w:numPr>
        <w:jc w:val="both"/>
        <w:rPr>
          <w:rFonts w:ascii="Cambria" w:hAnsi="Cambria"/>
        </w:rPr>
      </w:pPr>
      <w:r w:rsidRPr="00D377FA">
        <w:rPr>
          <w:rFonts w:ascii="Cambria" w:hAnsi="Cambria"/>
          <w:b/>
          <w:bCs/>
        </w:rPr>
        <w:t>Estructura:</w:t>
      </w:r>
      <w:r w:rsidRPr="00D377FA">
        <w:rPr>
          <w:rFonts w:ascii="Cambria" w:hAnsi="Cambria"/>
        </w:rPr>
        <w:t xml:space="preserve"> Direcciones Generales.</w:t>
      </w:r>
    </w:p>
    <w:p w14:paraId="3D0EBA38" w14:textId="77777777" w:rsidR="008A0AD0" w:rsidRPr="00D377FA" w:rsidRDefault="008A0AD0" w:rsidP="00D377FA">
      <w:pPr>
        <w:numPr>
          <w:ilvl w:val="0"/>
          <w:numId w:val="8"/>
        </w:numPr>
        <w:jc w:val="both"/>
        <w:rPr>
          <w:rFonts w:ascii="Cambria" w:hAnsi="Cambria"/>
        </w:rPr>
      </w:pPr>
      <w:r w:rsidRPr="00D377FA">
        <w:rPr>
          <w:rFonts w:ascii="Cambria" w:hAnsi="Cambria"/>
          <w:b/>
          <w:bCs/>
        </w:rPr>
        <w:t>Funciones:</w:t>
      </w:r>
    </w:p>
    <w:p w14:paraId="790AD1C1" w14:textId="77777777" w:rsidR="008A0AD0" w:rsidRPr="00D377FA" w:rsidRDefault="008A0AD0" w:rsidP="00D377FA">
      <w:pPr>
        <w:numPr>
          <w:ilvl w:val="1"/>
          <w:numId w:val="9"/>
        </w:numPr>
        <w:jc w:val="both"/>
        <w:rPr>
          <w:rFonts w:ascii="Cambria" w:hAnsi="Cambria"/>
        </w:rPr>
      </w:pPr>
      <w:r w:rsidRPr="00D377FA">
        <w:rPr>
          <w:rFonts w:ascii="Cambria" w:hAnsi="Cambria"/>
          <w:b/>
          <w:bCs/>
        </w:rPr>
        <w:t>Derecho de iniciativa:</w:t>
      </w:r>
      <w:r w:rsidRPr="00D377FA">
        <w:rPr>
          <w:rFonts w:ascii="Cambria" w:hAnsi="Cambria"/>
        </w:rPr>
        <w:t xml:space="preserve"> Propone nueva legislación (monopolio de iniciativa).</w:t>
      </w:r>
    </w:p>
    <w:p w14:paraId="2F1DCA08" w14:textId="06FD4C94" w:rsidR="008A0AD0" w:rsidRPr="00D377FA" w:rsidRDefault="008A0AD0" w:rsidP="00D377FA">
      <w:pPr>
        <w:numPr>
          <w:ilvl w:val="1"/>
          <w:numId w:val="9"/>
        </w:numPr>
        <w:jc w:val="both"/>
        <w:rPr>
          <w:rFonts w:ascii="Cambria" w:hAnsi="Cambria"/>
        </w:rPr>
      </w:pPr>
      <w:r w:rsidRPr="00D377FA">
        <w:rPr>
          <w:rFonts w:ascii="Cambria" w:hAnsi="Cambria"/>
          <w:b/>
          <w:bCs/>
        </w:rPr>
        <w:t>Guardiana de los Tratados:</w:t>
      </w:r>
      <w:r w:rsidRPr="00D377FA">
        <w:rPr>
          <w:rFonts w:ascii="Cambria" w:hAnsi="Cambria"/>
        </w:rPr>
        <w:t xml:space="preserve"> Supervisa cumplimiento (</w:t>
      </w:r>
      <w:r w:rsidR="00F6007F" w:rsidRPr="00D377FA">
        <w:rPr>
          <w:rFonts w:ascii="Cambria" w:hAnsi="Cambria"/>
        </w:rPr>
        <w:t>con e</w:t>
      </w:r>
      <w:r w:rsidRPr="00D377FA">
        <w:rPr>
          <w:rFonts w:ascii="Cambria" w:hAnsi="Cambria"/>
        </w:rPr>
        <w:t>l TJUE).</w:t>
      </w:r>
    </w:p>
    <w:p w14:paraId="24DC648F" w14:textId="77777777" w:rsidR="008A0AD0" w:rsidRPr="00D377FA" w:rsidRDefault="008A0AD0" w:rsidP="00D377FA">
      <w:pPr>
        <w:numPr>
          <w:ilvl w:val="1"/>
          <w:numId w:val="9"/>
        </w:numPr>
        <w:jc w:val="both"/>
        <w:rPr>
          <w:rFonts w:ascii="Cambria" w:hAnsi="Cambria"/>
        </w:rPr>
      </w:pPr>
      <w:r w:rsidRPr="00D377FA">
        <w:rPr>
          <w:rFonts w:ascii="Cambria" w:hAnsi="Cambria"/>
          <w:b/>
          <w:bCs/>
        </w:rPr>
        <w:t>Gestión:</w:t>
      </w:r>
      <w:r w:rsidRPr="00D377FA">
        <w:rPr>
          <w:rFonts w:ascii="Cambria" w:hAnsi="Cambria"/>
        </w:rPr>
        <w:t xml:space="preserve"> Ejecuta el presupuesto y políticas (Fondos, competencia).</w:t>
      </w:r>
    </w:p>
    <w:p w14:paraId="360A78A6" w14:textId="63761492" w:rsidR="008A0AD0" w:rsidRPr="00D377FA" w:rsidRDefault="008A0AD0" w:rsidP="00D377FA">
      <w:pPr>
        <w:numPr>
          <w:ilvl w:val="1"/>
          <w:numId w:val="9"/>
        </w:numPr>
        <w:jc w:val="both"/>
        <w:rPr>
          <w:rFonts w:ascii="Cambria" w:hAnsi="Cambria"/>
        </w:rPr>
      </w:pPr>
      <w:r w:rsidRPr="00D377FA">
        <w:rPr>
          <w:rFonts w:ascii="Cambria" w:hAnsi="Cambria"/>
          <w:b/>
          <w:bCs/>
        </w:rPr>
        <w:t>Representación exterior:</w:t>
      </w:r>
      <w:r w:rsidRPr="00D377FA">
        <w:rPr>
          <w:rFonts w:ascii="Cambria" w:hAnsi="Cambria"/>
        </w:rPr>
        <w:t xml:space="preserve"> En organismos internacionales (OMC) y acuerdos comerciales.</w:t>
      </w:r>
    </w:p>
    <w:p w14:paraId="4AC342B5" w14:textId="4DE7365F" w:rsidR="008A0AD0" w:rsidRPr="00D377FA" w:rsidRDefault="008A0AD0" w:rsidP="00D377FA">
      <w:pPr>
        <w:jc w:val="both"/>
        <w:rPr>
          <w:rFonts w:ascii="Cambria" w:hAnsi="Cambria"/>
          <w:b/>
          <w:bCs/>
          <w:u w:val="single"/>
        </w:rPr>
      </w:pPr>
      <w:r w:rsidRPr="00D377FA">
        <w:rPr>
          <w:rFonts w:ascii="Cambria" w:hAnsi="Cambria"/>
          <w:b/>
          <w:bCs/>
          <w:u w:val="single"/>
        </w:rPr>
        <w:t>Parlamento Europeo</w:t>
      </w:r>
    </w:p>
    <w:p w14:paraId="3FE301C1" w14:textId="77777777" w:rsidR="008A0AD0" w:rsidRPr="00D377FA" w:rsidRDefault="008A0AD0" w:rsidP="00D377FA">
      <w:pPr>
        <w:numPr>
          <w:ilvl w:val="0"/>
          <w:numId w:val="10"/>
        </w:numPr>
        <w:jc w:val="both"/>
        <w:rPr>
          <w:rFonts w:ascii="Cambria" w:hAnsi="Cambria"/>
        </w:rPr>
      </w:pPr>
      <w:r w:rsidRPr="00D377FA">
        <w:rPr>
          <w:rFonts w:ascii="Cambria" w:hAnsi="Cambria"/>
          <w:b/>
          <w:bCs/>
        </w:rPr>
        <w:t>Naturaleza:</w:t>
      </w:r>
      <w:r w:rsidRPr="00D377FA">
        <w:rPr>
          <w:rFonts w:ascii="Cambria" w:hAnsi="Cambria"/>
        </w:rPr>
        <w:t xml:space="preserve"> Representa a los ciudadanos. Elegido por sufragio directo cada 5 años (desde 1979).</w:t>
      </w:r>
    </w:p>
    <w:p w14:paraId="02C72774" w14:textId="77777777" w:rsidR="008A0AD0" w:rsidRPr="00D377FA" w:rsidRDefault="008A0AD0" w:rsidP="00D377FA">
      <w:pPr>
        <w:numPr>
          <w:ilvl w:val="0"/>
          <w:numId w:val="10"/>
        </w:numPr>
        <w:jc w:val="both"/>
        <w:rPr>
          <w:rFonts w:ascii="Cambria" w:hAnsi="Cambria"/>
        </w:rPr>
      </w:pPr>
      <w:r w:rsidRPr="00D377FA">
        <w:rPr>
          <w:rFonts w:ascii="Cambria" w:hAnsi="Cambria"/>
          <w:b/>
          <w:bCs/>
        </w:rPr>
        <w:t>Sedes:</w:t>
      </w:r>
    </w:p>
    <w:p w14:paraId="2D41348E" w14:textId="77777777" w:rsidR="008A0AD0" w:rsidRPr="00D377FA" w:rsidRDefault="008A0AD0" w:rsidP="00D377FA">
      <w:pPr>
        <w:numPr>
          <w:ilvl w:val="1"/>
          <w:numId w:val="10"/>
        </w:numPr>
        <w:jc w:val="both"/>
        <w:rPr>
          <w:rFonts w:ascii="Cambria" w:hAnsi="Cambria"/>
        </w:rPr>
      </w:pPr>
      <w:r w:rsidRPr="00D377FA">
        <w:rPr>
          <w:rFonts w:ascii="Cambria" w:hAnsi="Cambria"/>
          <w:b/>
          <w:bCs/>
        </w:rPr>
        <w:t>Estrasburgo:</w:t>
      </w:r>
      <w:r w:rsidRPr="00D377FA">
        <w:rPr>
          <w:rFonts w:ascii="Cambria" w:hAnsi="Cambria"/>
        </w:rPr>
        <w:t xml:space="preserve"> Plenos (12/año).</w:t>
      </w:r>
    </w:p>
    <w:p w14:paraId="3989F3E5" w14:textId="77777777" w:rsidR="008A0AD0" w:rsidRPr="00D377FA" w:rsidRDefault="008A0AD0" w:rsidP="00D377FA">
      <w:pPr>
        <w:numPr>
          <w:ilvl w:val="1"/>
          <w:numId w:val="10"/>
        </w:numPr>
        <w:jc w:val="both"/>
        <w:rPr>
          <w:rFonts w:ascii="Cambria" w:hAnsi="Cambria"/>
        </w:rPr>
      </w:pPr>
      <w:r w:rsidRPr="00D377FA">
        <w:rPr>
          <w:rFonts w:ascii="Cambria" w:hAnsi="Cambria"/>
          <w:b/>
          <w:bCs/>
        </w:rPr>
        <w:t>Bruselas:</w:t>
      </w:r>
      <w:r w:rsidRPr="00D377FA">
        <w:rPr>
          <w:rFonts w:ascii="Cambria" w:hAnsi="Cambria"/>
        </w:rPr>
        <w:t xml:space="preserve"> Comisiones y plenos adicionales.</w:t>
      </w:r>
    </w:p>
    <w:p w14:paraId="7C5E6D88" w14:textId="77777777" w:rsidR="008A0AD0" w:rsidRPr="00D377FA" w:rsidRDefault="008A0AD0" w:rsidP="00D377FA">
      <w:pPr>
        <w:numPr>
          <w:ilvl w:val="1"/>
          <w:numId w:val="10"/>
        </w:numPr>
        <w:jc w:val="both"/>
        <w:rPr>
          <w:rFonts w:ascii="Cambria" w:hAnsi="Cambria"/>
        </w:rPr>
      </w:pPr>
      <w:r w:rsidRPr="00D377FA">
        <w:rPr>
          <w:rFonts w:ascii="Cambria" w:hAnsi="Cambria"/>
          <w:b/>
          <w:bCs/>
        </w:rPr>
        <w:t>Luxemburgo:</w:t>
      </w:r>
      <w:r w:rsidRPr="00D377FA">
        <w:rPr>
          <w:rFonts w:ascii="Cambria" w:hAnsi="Cambria"/>
        </w:rPr>
        <w:t xml:space="preserve"> Secretaría General.</w:t>
      </w:r>
    </w:p>
    <w:p w14:paraId="4D9CF656" w14:textId="77777777" w:rsidR="008A0AD0" w:rsidRPr="00D377FA" w:rsidRDefault="008A0AD0" w:rsidP="00D377FA">
      <w:pPr>
        <w:numPr>
          <w:ilvl w:val="0"/>
          <w:numId w:val="10"/>
        </w:numPr>
        <w:jc w:val="both"/>
        <w:rPr>
          <w:rFonts w:ascii="Cambria" w:hAnsi="Cambria"/>
        </w:rPr>
      </w:pPr>
      <w:r w:rsidRPr="00D377FA">
        <w:rPr>
          <w:rFonts w:ascii="Cambria" w:hAnsi="Cambria"/>
          <w:b/>
          <w:bCs/>
        </w:rPr>
        <w:t>Composición:</w:t>
      </w:r>
      <w:r w:rsidRPr="00D377FA">
        <w:rPr>
          <w:rFonts w:ascii="Cambria" w:hAnsi="Cambria"/>
        </w:rPr>
        <w:t xml:space="preserve"> 705 escaños (tras Brexit). </w:t>
      </w:r>
      <w:r w:rsidRPr="00D377FA">
        <w:rPr>
          <w:rFonts w:ascii="Cambria" w:hAnsi="Cambria"/>
          <w:u w:val="single"/>
        </w:rPr>
        <w:t>España: 59 diputados.</w:t>
      </w:r>
    </w:p>
    <w:p w14:paraId="19A32BDE" w14:textId="088B218A" w:rsidR="008A0AD0" w:rsidRPr="00D377FA" w:rsidRDefault="008A0AD0" w:rsidP="00D377FA">
      <w:pPr>
        <w:numPr>
          <w:ilvl w:val="1"/>
          <w:numId w:val="10"/>
        </w:numPr>
        <w:jc w:val="both"/>
        <w:rPr>
          <w:rFonts w:ascii="Cambria" w:hAnsi="Cambria"/>
        </w:rPr>
      </w:pPr>
      <w:r w:rsidRPr="00D377FA">
        <w:rPr>
          <w:rFonts w:ascii="Cambria" w:hAnsi="Cambria"/>
        </w:rPr>
        <w:t xml:space="preserve">Presidente: </w:t>
      </w:r>
      <w:r w:rsidR="00603CCC" w:rsidRPr="00D377FA">
        <w:rPr>
          <w:rFonts w:ascii="Cambria" w:hAnsi="Cambria"/>
          <w:u w:val="single"/>
        </w:rPr>
        <w:t>António Costa</w:t>
      </w:r>
      <w:r w:rsidR="00603CCC" w:rsidRPr="00D377FA">
        <w:rPr>
          <w:rFonts w:ascii="Cambria" w:hAnsi="Cambria"/>
        </w:rPr>
        <w:t xml:space="preserve"> </w:t>
      </w:r>
      <w:r w:rsidRPr="00D377FA">
        <w:rPr>
          <w:rFonts w:ascii="Cambria" w:hAnsi="Cambria"/>
        </w:rPr>
        <w:t>(</w:t>
      </w:r>
      <w:r w:rsidR="00603CCC" w:rsidRPr="00D377FA">
        <w:rPr>
          <w:rFonts w:ascii="Cambria" w:hAnsi="Cambria"/>
        </w:rPr>
        <w:t>dic21</w:t>
      </w:r>
      <w:r w:rsidRPr="00D377FA">
        <w:rPr>
          <w:rFonts w:ascii="Cambria" w:hAnsi="Cambria"/>
        </w:rPr>
        <w:t xml:space="preserve"> – </w:t>
      </w:r>
      <w:r w:rsidR="00603CCC" w:rsidRPr="00D377FA">
        <w:rPr>
          <w:rFonts w:ascii="Cambria" w:hAnsi="Cambria"/>
        </w:rPr>
        <w:t>may27</w:t>
      </w:r>
      <w:r w:rsidRPr="00D377FA">
        <w:rPr>
          <w:rFonts w:ascii="Cambria" w:hAnsi="Cambria"/>
        </w:rPr>
        <w:t>).</w:t>
      </w:r>
    </w:p>
    <w:p w14:paraId="23D6A955" w14:textId="5C925FCE" w:rsidR="008A0AD0" w:rsidRPr="00D377FA" w:rsidRDefault="008A0AD0" w:rsidP="00D377FA">
      <w:pPr>
        <w:numPr>
          <w:ilvl w:val="1"/>
          <w:numId w:val="10"/>
        </w:numPr>
        <w:jc w:val="both"/>
        <w:rPr>
          <w:rFonts w:ascii="Cambria" w:hAnsi="Cambria"/>
        </w:rPr>
      </w:pPr>
      <w:r w:rsidRPr="00D377FA">
        <w:rPr>
          <w:rFonts w:ascii="Cambria" w:hAnsi="Cambria"/>
        </w:rPr>
        <w:t>Organización: Por grupos políticos. Comisiones permanentes.</w:t>
      </w:r>
    </w:p>
    <w:p w14:paraId="7D2AF8DE" w14:textId="77777777" w:rsidR="008A0AD0" w:rsidRPr="00D377FA" w:rsidRDefault="008A0AD0" w:rsidP="00D377FA">
      <w:pPr>
        <w:numPr>
          <w:ilvl w:val="0"/>
          <w:numId w:val="10"/>
        </w:numPr>
        <w:jc w:val="both"/>
        <w:rPr>
          <w:rFonts w:ascii="Cambria" w:hAnsi="Cambria"/>
        </w:rPr>
      </w:pPr>
      <w:r w:rsidRPr="00D377FA">
        <w:rPr>
          <w:rFonts w:ascii="Cambria" w:hAnsi="Cambria"/>
          <w:b/>
          <w:bCs/>
        </w:rPr>
        <w:t>Funciones:</w:t>
      </w:r>
    </w:p>
    <w:p w14:paraId="749A586D" w14:textId="77777777" w:rsidR="008A0AD0" w:rsidRPr="00D377FA" w:rsidRDefault="008A0AD0" w:rsidP="00D377FA">
      <w:pPr>
        <w:numPr>
          <w:ilvl w:val="1"/>
          <w:numId w:val="11"/>
        </w:numPr>
        <w:jc w:val="both"/>
        <w:rPr>
          <w:rFonts w:ascii="Cambria" w:hAnsi="Cambria"/>
        </w:rPr>
      </w:pPr>
      <w:r w:rsidRPr="00D377FA">
        <w:rPr>
          <w:rFonts w:ascii="Cambria" w:hAnsi="Cambria"/>
          <w:b/>
          <w:bCs/>
        </w:rPr>
        <w:t>Legislativa:</w:t>
      </w:r>
      <w:r w:rsidRPr="00D377FA">
        <w:rPr>
          <w:rFonts w:ascii="Cambria" w:hAnsi="Cambria"/>
        </w:rPr>
        <w:t xml:space="preserve"> Procedimiento Legislativo Ordinario (con el Consejo).</w:t>
      </w:r>
    </w:p>
    <w:p w14:paraId="603F507F" w14:textId="77777777" w:rsidR="008A0AD0" w:rsidRPr="00D377FA" w:rsidRDefault="008A0AD0" w:rsidP="00D377FA">
      <w:pPr>
        <w:numPr>
          <w:ilvl w:val="1"/>
          <w:numId w:val="11"/>
        </w:numPr>
        <w:jc w:val="both"/>
        <w:rPr>
          <w:rFonts w:ascii="Cambria" w:hAnsi="Cambria"/>
        </w:rPr>
      </w:pPr>
      <w:r w:rsidRPr="00D377FA">
        <w:rPr>
          <w:rFonts w:ascii="Cambria" w:hAnsi="Cambria"/>
          <w:b/>
          <w:bCs/>
        </w:rPr>
        <w:t>Presupuestaria:</w:t>
      </w:r>
      <w:r w:rsidRPr="00D377FA">
        <w:rPr>
          <w:rFonts w:ascii="Cambria" w:hAnsi="Cambria"/>
        </w:rPr>
        <w:t xml:space="preserve"> Aprueba el presupuesto anual (con el Consejo). Control de gastos.</w:t>
      </w:r>
    </w:p>
    <w:p w14:paraId="77FFFE90" w14:textId="5B336CD3" w:rsidR="008A0AD0" w:rsidRPr="00D377FA" w:rsidRDefault="008A0AD0" w:rsidP="00D377FA">
      <w:pPr>
        <w:numPr>
          <w:ilvl w:val="1"/>
          <w:numId w:val="11"/>
        </w:numPr>
        <w:jc w:val="both"/>
        <w:rPr>
          <w:rFonts w:ascii="Cambria" w:hAnsi="Cambria"/>
        </w:rPr>
      </w:pPr>
      <w:r w:rsidRPr="00D377FA">
        <w:rPr>
          <w:rFonts w:ascii="Cambria" w:hAnsi="Cambria"/>
          <w:b/>
          <w:bCs/>
        </w:rPr>
        <w:t>Control Democrático:</w:t>
      </w:r>
      <w:r w:rsidRPr="00D377FA">
        <w:rPr>
          <w:rFonts w:ascii="Cambria" w:hAnsi="Cambria"/>
        </w:rPr>
        <w:t xml:space="preserve"> Aprueba la Comisión, Moción de censura, pregunta</w:t>
      </w:r>
      <w:r w:rsidR="002325F1" w:rsidRPr="00D377FA">
        <w:rPr>
          <w:rFonts w:ascii="Cambria" w:hAnsi="Cambria"/>
        </w:rPr>
        <w:t>s.</w:t>
      </w:r>
    </w:p>
    <w:p w14:paraId="32D5BFC4" w14:textId="1A5AB0AC" w:rsidR="008A0AD0" w:rsidRPr="00D377FA" w:rsidRDefault="008A0AD0" w:rsidP="00D377FA">
      <w:pPr>
        <w:jc w:val="both"/>
        <w:rPr>
          <w:rFonts w:ascii="Cambria" w:hAnsi="Cambria"/>
          <w:b/>
          <w:bCs/>
          <w:u w:val="single"/>
        </w:rPr>
      </w:pPr>
      <w:r w:rsidRPr="00D377FA">
        <w:rPr>
          <w:rFonts w:ascii="Cambria" w:hAnsi="Cambria"/>
          <w:b/>
          <w:bCs/>
          <w:u w:val="single"/>
        </w:rPr>
        <w:t xml:space="preserve">Tribunal de Justicia de la UE </w:t>
      </w:r>
    </w:p>
    <w:p w14:paraId="4D2A99F2" w14:textId="77777777" w:rsidR="008A0AD0" w:rsidRPr="00D377FA" w:rsidRDefault="008A0AD0" w:rsidP="00D377FA">
      <w:pPr>
        <w:numPr>
          <w:ilvl w:val="0"/>
          <w:numId w:val="12"/>
        </w:numPr>
        <w:jc w:val="both"/>
        <w:rPr>
          <w:rFonts w:ascii="Cambria" w:hAnsi="Cambria"/>
        </w:rPr>
      </w:pPr>
      <w:r w:rsidRPr="00D377FA">
        <w:rPr>
          <w:rFonts w:ascii="Cambria" w:hAnsi="Cambria"/>
          <w:b/>
          <w:bCs/>
        </w:rPr>
        <w:lastRenderedPageBreak/>
        <w:t>Sede:</w:t>
      </w:r>
      <w:r w:rsidRPr="00D377FA">
        <w:rPr>
          <w:rFonts w:ascii="Cambria" w:hAnsi="Cambria"/>
        </w:rPr>
        <w:t xml:space="preserve"> Luxemburgo. Garantiza la interpretación y aplicación del Derecho de la UE.</w:t>
      </w:r>
    </w:p>
    <w:p w14:paraId="7660A749" w14:textId="77777777" w:rsidR="008A0AD0" w:rsidRPr="00D377FA" w:rsidRDefault="008A0AD0" w:rsidP="00D377FA">
      <w:pPr>
        <w:numPr>
          <w:ilvl w:val="0"/>
          <w:numId w:val="12"/>
        </w:numPr>
        <w:jc w:val="both"/>
        <w:rPr>
          <w:rFonts w:ascii="Cambria" w:hAnsi="Cambria"/>
        </w:rPr>
      </w:pPr>
      <w:r w:rsidRPr="00D377FA">
        <w:rPr>
          <w:rFonts w:ascii="Cambria" w:hAnsi="Cambria"/>
          <w:b/>
          <w:bCs/>
        </w:rPr>
        <w:t>Estructura:</w:t>
      </w:r>
    </w:p>
    <w:p w14:paraId="74FE9B92" w14:textId="77777777" w:rsidR="008A0AD0" w:rsidRPr="00D377FA" w:rsidRDefault="008A0AD0" w:rsidP="00D377FA">
      <w:pPr>
        <w:numPr>
          <w:ilvl w:val="1"/>
          <w:numId w:val="12"/>
        </w:numPr>
        <w:jc w:val="both"/>
        <w:rPr>
          <w:rFonts w:ascii="Cambria" w:hAnsi="Cambria"/>
        </w:rPr>
      </w:pPr>
      <w:r w:rsidRPr="00D377FA">
        <w:rPr>
          <w:rFonts w:ascii="Cambria" w:hAnsi="Cambria"/>
          <w:b/>
          <w:bCs/>
        </w:rPr>
        <w:t>Tribunal de Justicia:</w:t>
      </w:r>
      <w:r w:rsidRPr="00D377FA">
        <w:rPr>
          <w:rFonts w:ascii="Cambria" w:hAnsi="Cambria"/>
        </w:rPr>
        <w:t xml:space="preserve"> 1 Juez por EEMM + 11 Abogados Generales. Cuestiones prejudiciales, recursos por incumplimiento (contra Estados), casación.</w:t>
      </w:r>
    </w:p>
    <w:p w14:paraId="66A31A36" w14:textId="057460FD" w:rsidR="008A0AD0" w:rsidRPr="00D377FA" w:rsidRDefault="008A0AD0" w:rsidP="00D377FA">
      <w:pPr>
        <w:numPr>
          <w:ilvl w:val="1"/>
          <w:numId w:val="12"/>
        </w:numPr>
        <w:jc w:val="both"/>
        <w:rPr>
          <w:rFonts w:ascii="Cambria" w:hAnsi="Cambria"/>
        </w:rPr>
      </w:pPr>
      <w:r w:rsidRPr="00D377FA">
        <w:rPr>
          <w:rFonts w:ascii="Cambria" w:hAnsi="Cambria"/>
          <w:b/>
          <w:bCs/>
        </w:rPr>
        <w:t>Tribunal General:</w:t>
      </w:r>
      <w:r w:rsidRPr="00D377FA">
        <w:rPr>
          <w:rFonts w:ascii="Cambria" w:hAnsi="Cambria"/>
        </w:rPr>
        <w:t xml:space="preserve"> 2 Jueces por EEMM. Recursos de particulares y empresas, competencia.</w:t>
      </w:r>
    </w:p>
    <w:p w14:paraId="75FA7791" w14:textId="3DF8EBFE" w:rsidR="008A0AD0" w:rsidRPr="00D377FA" w:rsidRDefault="008A0AD0" w:rsidP="00D377FA">
      <w:pPr>
        <w:numPr>
          <w:ilvl w:val="0"/>
          <w:numId w:val="12"/>
        </w:numPr>
        <w:jc w:val="both"/>
        <w:rPr>
          <w:rFonts w:ascii="Cambria" w:hAnsi="Cambria"/>
        </w:rPr>
      </w:pPr>
      <w:r w:rsidRPr="00D377FA">
        <w:rPr>
          <w:rFonts w:ascii="Cambria" w:hAnsi="Cambria"/>
          <w:b/>
          <w:bCs/>
        </w:rPr>
        <w:t>Mandato:</w:t>
      </w:r>
      <w:r w:rsidRPr="00D377FA">
        <w:rPr>
          <w:rFonts w:ascii="Cambria" w:hAnsi="Cambria"/>
        </w:rPr>
        <w:t xml:space="preserve"> 6 años renovables.</w:t>
      </w:r>
    </w:p>
    <w:p w14:paraId="24C9EB17" w14:textId="3BB5EC90" w:rsidR="008A0AD0" w:rsidRPr="00D377FA" w:rsidRDefault="008A0AD0" w:rsidP="00D377FA">
      <w:pPr>
        <w:jc w:val="both"/>
        <w:rPr>
          <w:rFonts w:ascii="Cambria" w:hAnsi="Cambria"/>
          <w:b/>
          <w:bCs/>
          <w:u w:val="single"/>
        </w:rPr>
      </w:pPr>
      <w:r w:rsidRPr="00D377FA">
        <w:rPr>
          <w:rFonts w:ascii="Cambria" w:hAnsi="Cambria"/>
          <w:b/>
          <w:bCs/>
          <w:u w:val="single"/>
        </w:rPr>
        <w:t>Banco Central Europeo</w:t>
      </w:r>
    </w:p>
    <w:p w14:paraId="714C9D1B" w14:textId="77777777" w:rsidR="008A0AD0" w:rsidRPr="00D377FA" w:rsidRDefault="008A0AD0" w:rsidP="00D377FA">
      <w:pPr>
        <w:numPr>
          <w:ilvl w:val="0"/>
          <w:numId w:val="14"/>
        </w:numPr>
        <w:jc w:val="both"/>
        <w:rPr>
          <w:rFonts w:ascii="Cambria" w:hAnsi="Cambria"/>
        </w:rPr>
      </w:pPr>
      <w:r w:rsidRPr="00D377FA">
        <w:rPr>
          <w:rFonts w:ascii="Cambria" w:hAnsi="Cambria"/>
          <w:b/>
          <w:bCs/>
        </w:rPr>
        <w:t>Sede:</w:t>
      </w:r>
      <w:r w:rsidRPr="00D377FA">
        <w:rPr>
          <w:rFonts w:ascii="Cambria" w:hAnsi="Cambria"/>
        </w:rPr>
        <w:t xml:space="preserve"> Fráncfort. Creado en 1998. Independiente.</w:t>
      </w:r>
    </w:p>
    <w:p w14:paraId="23340727" w14:textId="77777777" w:rsidR="008A0AD0" w:rsidRPr="00D377FA" w:rsidRDefault="008A0AD0" w:rsidP="00D377FA">
      <w:pPr>
        <w:numPr>
          <w:ilvl w:val="0"/>
          <w:numId w:val="14"/>
        </w:numPr>
        <w:jc w:val="both"/>
        <w:rPr>
          <w:rFonts w:ascii="Cambria" w:hAnsi="Cambria"/>
        </w:rPr>
      </w:pPr>
      <w:r w:rsidRPr="00D377FA">
        <w:rPr>
          <w:rFonts w:ascii="Cambria" w:hAnsi="Cambria"/>
          <w:b/>
          <w:bCs/>
        </w:rPr>
        <w:t>Estructura:</w:t>
      </w:r>
    </w:p>
    <w:p w14:paraId="1E031DD7" w14:textId="77777777" w:rsidR="008A0AD0" w:rsidRPr="00D377FA" w:rsidRDefault="008A0AD0" w:rsidP="00D377FA">
      <w:pPr>
        <w:numPr>
          <w:ilvl w:val="1"/>
          <w:numId w:val="14"/>
        </w:numPr>
        <w:jc w:val="both"/>
        <w:rPr>
          <w:rFonts w:ascii="Cambria" w:hAnsi="Cambria"/>
        </w:rPr>
      </w:pPr>
      <w:r w:rsidRPr="00D377FA">
        <w:rPr>
          <w:rFonts w:ascii="Cambria" w:hAnsi="Cambria"/>
          <w:b/>
          <w:bCs/>
        </w:rPr>
        <w:t>Consejo de Gobierno:</w:t>
      </w:r>
      <w:r w:rsidRPr="00D377FA">
        <w:rPr>
          <w:rFonts w:ascii="Cambria" w:hAnsi="Cambria"/>
        </w:rPr>
        <w:t xml:space="preserve"> Máximo órgano decisorio (Comité Ejecutivo + Gobernadores BCN Zona Euro). Política monetaria.</w:t>
      </w:r>
    </w:p>
    <w:p w14:paraId="789C7D32" w14:textId="77777777" w:rsidR="008A0AD0" w:rsidRPr="00D377FA" w:rsidRDefault="008A0AD0" w:rsidP="00D377FA">
      <w:pPr>
        <w:numPr>
          <w:ilvl w:val="1"/>
          <w:numId w:val="14"/>
        </w:numPr>
        <w:jc w:val="both"/>
        <w:rPr>
          <w:rFonts w:ascii="Cambria" w:hAnsi="Cambria"/>
        </w:rPr>
      </w:pPr>
      <w:r w:rsidRPr="00D377FA">
        <w:rPr>
          <w:rFonts w:ascii="Cambria" w:hAnsi="Cambria"/>
          <w:b/>
          <w:bCs/>
        </w:rPr>
        <w:t>Comité Ejecutivo:</w:t>
      </w:r>
      <w:r w:rsidRPr="00D377FA">
        <w:rPr>
          <w:rFonts w:ascii="Cambria" w:hAnsi="Cambria"/>
        </w:rPr>
        <w:t xml:space="preserve"> Gestión ordinaria. Presidente (Christine Lagarde), Vicepresidente (Luis de Guindos) + 4 miembros. Mandato 8 años no renovable.</w:t>
      </w:r>
    </w:p>
    <w:p w14:paraId="267BDAEE" w14:textId="77777777" w:rsidR="008A0AD0" w:rsidRPr="00D377FA" w:rsidRDefault="008A0AD0" w:rsidP="00D377FA">
      <w:pPr>
        <w:numPr>
          <w:ilvl w:val="1"/>
          <w:numId w:val="14"/>
        </w:numPr>
        <w:jc w:val="both"/>
        <w:rPr>
          <w:rFonts w:ascii="Cambria" w:hAnsi="Cambria"/>
        </w:rPr>
      </w:pPr>
      <w:r w:rsidRPr="00D377FA">
        <w:rPr>
          <w:rFonts w:ascii="Cambria" w:hAnsi="Cambria"/>
          <w:b/>
          <w:bCs/>
        </w:rPr>
        <w:t>Consejo General:</w:t>
      </w:r>
      <w:r w:rsidRPr="00D377FA">
        <w:rPr>
          <w:rFonts w:ascii="Cambria" w:hAnsi="Cambria"/>
        </w:rPr>
        <w:t xml:space="preserve"> Incluye a países fuera del Euro.</w:t>
      </w:r>
    </w:p>
    <w:p w14:paraId="788AA85C" w14:textId="77777777" w:rsidR="008A0AD0" w:rsidRPr="00D377FA" w:rsidRDefault="008A0AD0" w:rsidP="00D377FA">
      <w:pPr>
        <w:numPr>
          <w:ilvl w:val="0"/>
          <w:numId w:val="14"/>
        </w:numPr>
        <w:jc w:val="both"/>
        <w:rPr>
          <w:rFonts w:ascii="Cambria" w:hAnsi="Cambria"/>
        </w:rPr>
      </w:pPr>
      <w:r w:rsidRPr="00D377FA">
        <w:rPr>
          <w:rFonts w:ascii="Cambria" w:hAnsi="Cambria"/>
          <w:b/>
          <w:bCs/>
        </w:rPr>
        <w:t>Unión Bancaria:</w:t>
      </w:r>
    </w:p>
    <w:p w14:paraId="7A69D1B2" w14:textId="77777777" w:rsidR="008A0AD0" w:rsidRPr="00D377FA" w:rsidRDefault="008A0AD0" w:rsidP="00D377FA">
      <w:pPr>
        <w:numPr>
          <w:ilvl w:val="1"/>
          <w:numId w:val="14"/>
        </w:numPr>
        <w:jc w:val="both"/>
        <w:rPr>
          <w:rFonts w:ascii="Cambria" w:hAnsi="Cambria"/>
        </w:rPr>
      </w:pPr>
      <w:r w:rsidRPr="00D377FA">
        <w:rPr>
          <w:rFonts w:ascii="Cambria" w:hAnsi="Cambria"/>
        </w:rPr>
        <w:t>Mecanismo Único de Supervisión (MUS).</w:t>
      </w:r>
    </w:p>
    <w:p w14:paraId="489E98AB" w14:textId="1FE3078D" w:rsidR="008A0AD0" w:rsidRPr="00D377FA" w:rsidRDefault="008A0AD0" w:rsidP="00D377FA">
      <w:pPr>
        <w:numPr>
          <w:ilvl w:val="1"/>
          <w:numId w:val="14"/>
        </w:numPr>
        <w:jc w:val="both"/>
        <w:rPr>
          <w:rFonts w:ascii="Cambria" w:hAnsi="Cambria"/>
        </w:rPr>
      </w:pPr>
      <w:r w:rsidRPr="00D377FA">
        <w:rPr>
          <w:rFonts w:ascii="Cambria" w:hAnsi="Cambria"/>
        </w:rPr>
        <w:t>Mecanismo Único de Resolución (MUR) Junta Única de Resolución (JUR) + Fondo Único de Resolución (FUR).</w:t>
      </w:r>
    </w:p>
    <w:p w14:paraId="0753AD78" w14:textId="135E1E15" w:rsidR="008A0AD0" w:rsidRPr="00D377FA" w:rsidRDefault="008A0AD0" w:rsidP="00D377FA">
      <w:pPr>
        <w:jc w:val="both"/>
        <w:rPr>
          <w:rFonts w:ascii="Cambria" w:hAnsi="Cambria"/>
          <w:b/>
          <w:bCs/>
          <w:u w:val="single"/>
        </w:rPr>
      </w:pPr>
      <w:r w:rsidRPr="00D377FA">
        <w:rPr>
          <w:rFonts w:ascii="Cambria" w:hAnsi="Cambria"/>
          <w:b/>
          <w:bCs/>
          <w:u w:val="single"/>
        </w:rPr>
        <w:t>Tribunal de Cuentas Europeo (TCE)</w:t>
      </w:r>
    </w:p>
    <w:p w14:paraId="303283CD" w14:textId="77777777" w:rsidR="008A0AD0" w:rsidRPr="00D377FA" w:rsidRDefault="008A0AD0" w:rsidP="00D377FA">
      <w:pPr>
        <w:numPr>
          <w:ilvl w:val="0"/>
          <w:numId w:val="15"/>
        </w:numPr>
        <w:jc w:val="both"/>
        <w:rPr>
          <w:rFonts w:ascii="Cambria" w:hAnsi="Cambria"/>
        </w:rPr>
      </w:pPr>
      <w:r w:rsidRPr="00D377FA">
        <w:rPr>
          <w:rFonts w:ascii="Cambria" w:hAnsi="Cambria"/>
          <w:b/>
          <w:bCs/>
        </w:rPr>
        <w:t>Sede:</w:t>
      </w:r>
      <w:r w:rsidRPr="00D377FA">
        <w:rPr>
          <w:rFonts w:ascii="Cambria" w:hAnsi="Cambria"/>
        </w:rPr>
        <w:t xml:space="preserve"> Luxemburgo. Auditor externo independiente.</w:t>
      </w:r>
    </w:p>
    <w:p w14:paraId="1CF71396" w14:textId="0223B227" w:rsidR="008A0AD0" w:rsidRPr="00D377FA" w:rsidRDefault="008A0AD0" w:rsidP="00D377FA">
      <w:pPr>
        <w:numPr>
          <w:ilvl w:val="0"/>
          <w:numId w:val="15"/>
        </w:numPr>
        <w:jc w:val="both"/>
        <w:rPr>
          <w:rFonts w:ascii="Cambria" w:hAnsi="Cambria"/>
        </w:rPr>
      </w:pPr>
      <w:r w:rsidRPr="00D377FA">
        <w:rPr>
          <w:rFonts w:ascii="Cambria" w:hAnsi="Cambria"/>
          <w:b/>
          <w:bCs/>
        </w:rPr>
        <w:t>Composición:</w:t>
      </w:r>
      <w:r w:rsidRPr="00D377FA">
        <w:rPr>
          <w:rFonts w:ascii="Cambria" w:hAnsi="Cambria"/>
        </w:rPr>
        <w:t xml:space="preserve"> 1 miembro por EEMM (6 años). Presidente: Tony Murphy.</w:t>
      </w:r>
    </w:p>
    <w:p w14:paraId="4DB7193D" w14:textId="24AC8418" w:rsidR="008A0AD0" w:rsidRPr="00D377FA" w:rsidRDefault="008A0AD0" w:rsidP="00D377FA">
      <w:pPr>
        <w:numPr>
          <w:ilvl w:val="0"/>
          <w:numId w:val="15"/>
        </w:numPr>
        <w:jc w:val="both"/>
        <w:rPr>
          <w:rFonts w:ascii="Cambria" w:hAnsi="Cambria"/>
        </w:rPr>
      </w:pPr>
      <w:r w:rsidRPr="00D377FA">
        <w:rPr>
          <w:rFonts w:ascii="Cambria" w:hAnsi="Cambria"/>
          <w:b/>
          <w:bCs/>
        </w:rPr>
        <w:t>Función:</w:t>
      </w:r>
      <w:r w:rsidRPr="00D377FA">
        <w:rPr>
          <w:rFonts w:ascii="Cambria" w:hAnsi="Cambria"/>
        </w:rPr>
        <w:t xml:space="preserve"> Audita ingresos/gastos. Informe anual clave para la aprobación de la gestión presupuestaria («aprobación de la gestión»).</w:t>
      </w:r>
    </w:p>
    <w:p w14:paraId="04501866" w14:textId="77777777" w:rsidR="008A0AD0" w:rsidRPr="00D377FA" w:rsidRDefault="008A0AD0" w:rsidP="00D377FA">
      <w:pPr>
        <w:pStyle w:val="Ttulo1"/>
        <w:jc w:val="both"/>
        <w:rPr>
          <w:rFonts w:ascii="Cambria" w:hAnsi="Cambria"/>
          <w:b/>
          <w:bCs/>
          <w:color w:val="auto"/>
          <w:sz w:val="28"/>
          <w:szCs w:val="28"/>
        </w:rPr>
      </w:pPr>
      <w:r w:rsidRPr="00D377FA">
        <w:rPr>
          <w:rFonts w:ascii="Cambria" w:hAnsi="Cambria"/>
          <w:b/>
          <w:bCs/>
          <w:color w:val="auto"/>
          <w:sz w:val="28"/>
          <w:szCs w:val="28"/>
        </w:rPr>
        <w:t>5. Otras Instituciones y Organismos</w:t>
      </w:r>
    </w:p>
    <w:p w14:paraId="0FC4AF5D" w14:textId="2D86E066" w:rsidR="008A0AD0" w:rsidRPr="00D377FA" w:rsidRDefault="008A0AD0" w:rsidP="00D377FA">
      <w:pPr>
        <w:numPr>
          <w:ilvl w:val="0"/>
          <w:numId w:val="16"/>
        </w:numPr>
        <w:jc w:val="both"/>
        <w:rPr>
          <w:rFonts w:ascii="Cambria" w:hAnsi="Cambria"/>
        </w:rPr>
      </w:pPr>
      <w:r w:rsidRPr="00D377FA">
        <w:rPr>
          <w:rFonts w:ascii="Cambria" w:hAnsi="Cambria"/>
          <w:b/>
          <w:bCs/>
        </w:rPr>
        <w:t>Comité Económico y Social Europeo:</w:t>
      </w:r>
      <w:r w:rsidRPr="00D377FA">
        <w:rPr>
          <w:rFonts w:ascii="Cambria" w:hAnsi="Cambria"/>
        </w:rPr>
        <w:t xml:space="preserve"> Representa a la sociedad civil</w:t>
      </w:r>
      <w:r w:rsidR="00603CCC" w:rsidRPr="00D377FA">
        <w:rPr>
          <w:rFonts w:ascii="Cambria" w:hAnsi="Cambria"/>
        </w:rPr>
        <w:t xml:space="preserve">. </w:t>
      </w:r>
      <w:r w:rsidRPr="00D377FA">
        <w:rPr>
          <w:rFonts w:ascii="Cambria" w:hAnsi="Cambria"/>
        </w:rPr>
        <w:t>Consultivo.</w:t>
      </w:r>
    </w:p>
    <w:p w14:paraId="07884001" w14:textId="73A7836E" w:rsidR="008A0AD0" w:rsidRPr="00D377FA" w:rsidRDefault="008A0AD0" w:rsidP="00D377FA">
      <w:pPr>
        <w:numPr>
          <w:ilvl w:val="0"/>
          <w:numId w:val="16"/>
        </w:numPr>
        <w:jc w:val="both"/>
        <w:rPr>
          <w:rFonts w:ascii="Cambria" w:hAnsi="Cambria"/>
        </w:rPr>
      </w:pPr>
      <w:r w:rsidRPr="00D377FA">
        <w:rPr>
          <w:rFonts w:ascii="Cambria" w:hAnsi="Cambria"/>
          <w:b/>
          <w:bCs/>
        </w:rPr>
        <w:t>Comité de las Regiones:</w:t>
      </w:r>
      <w:r w:rsidRPr="00D377FA">
        <w:rPr>
          <w:rFonts w:ascii="Cambria" w:hAnsi="Cambria"/>
        </w:rPr>
        <w:t xml:space="preserve"> Representa entes regionales y locales. Consultivo.</w:t>
      </w:r>
    </w:p>
    <w:p w14:paraId="110C2934" w14:textId="791BAA21" w:rsidR="008A0AD0" w:rsidRPr="00D377FA" w:rsidRDefault="008A0AD0" w:rsidP="00D377FA">
      <w:pPr>
        <w:numPr>
          <w:ilvl w:val="0"/>
          <w:numId w:val="16"/>
        </w:numPr>
        <w:jc w:val="both"/>
        <w:rPr>
          <w:rFonts w:ascii="Cambria" w:hAnsi="Cambria"/>
        </w:rPr>
      </w:pPr>
      <w:r w:rsidRPr="00D377FA">
        <w:rPr>
          <w:rFonts w:ascii="Cambria" w:hAnsi="Cambria"/>
          <w:b/>
          <w:bCs/>
        </w:rPr>
        <w:lastRenderedPageBreak/>
        <w:t>Servicio Europeo de Acción Exterior:</w:t>
      </w:r>
      <w:r w:rsidRPr="00D377FA">
        <w:rPr>
          <w:rFonts w:ascii="Cambria" w:hAnsi="Cambria"/>
        </w:rPr>
        <w:t xml:space="preserve"> Dirigido por el Alto Representante.</w:t>
      </w:r>
    </w:p>
    <w:p w14:paraId="1A956445" w14:textId="06CC8192" w:rsidR="008A0AD0" w:rsidRPr="00D377FA" w:rsidRDefault="008A0AD0" w:rsidP="00D377FA">
      <w:pPr>
        <w:numPr>
          <w:ilvl w:val="0"/>
          <w:numId w:val="16"/>
        </w:numPr>
        <w:jc w:val="both"/>
        <w:rPr>
          <w:rFonts w:ascii="Cambria" w:hAnsi="Cambria"/>
        </w:rPr>
      </w:pPr>
      <w:r w:rsidRPr="00D377FA">
        <w:rPr>
          <w:rFonts w:ascii="Cambria" w:hAnsi="Cambria"/>
          <w:b/>
          <w:bCs/>
        </w:rPr>
        <w:t>Banco Europeo de Inversiones:</w:t>
      </w:r>
      <w:r w:rsidRPr="00D377FA">
        <w:rPr>
          <w:rFonts w:ascii="Cambria" w:hAnsi="Cambria"/>
        </w:rPr>
        <w:t xml:space="preserve"> Financiación de proyectos.</w:t>
      </w:r>
    </w:p>
    <w:p w14:paraId="70345D44" w14:textId="09CED3E8" w:rsidR="008A0AD0" w:rsidRPr="00D377FA" w:rsidRDefault="008A0AD0" w:rsidP="00D377FA">
      <w:pPr>
        <w:numPr>
          <w:ilvl w:val="0"/>
          <w:numId w:val="16"/>
        </w:numPr>
        <w:jc w:val="both"/>
        <w:rPr>
          <w:rFonts w:ascii="Cambria" w:hAnsi="Cambria"/>
        </w:rPr>
      </w:pPr>
      <w:r w:rsidRPr="00D377FA">
        <w:rPr>
          <w:rFonts w:ascii="Cambria" w:hAnsi="Cambria"/>
          <w:b/>
          <w:bCs/>
        </w:rPr>
        <w:t>Defensor del Pueblo Europeo:</w:t>
      </w:r>
      <w:r w:rsidRPr="00D377FA">
        <w:rPr>
          <w:rFonts w:ascii="Cambria" w:hAnsi="Cambria"/>
        </w:rPr>
        <w:t xml:space="preserve"> Investiga mala administración</w:t>
      </w:r>
    </w:p>
    <w:p w14:paraId="23EAEE5E" w14:textId="7893C2EA" w:rsidR="008A0AD0" w:rsidRPr="00D377FA" w:rsidRDefault="008A0AD0" w:rsidP="00D377FA">
      <w:pPr>
        <w:pStyle w:val="Ttulo1"/>
        <w:jc w:val="both"/>
        <w:rPr>
          <w:rFonts w:ascii="Cambria" w:hAnsi="Cambria"/>
          <w:b/>
          <w:bCs/>
          <w:color w:val="auto"/>
          <w:sz w:val="28"/>
          <w:szCs w:val="28"/>
        </w:rPr>
      </w:pPr>
      <w:r w:rsidRPr="00D377FA">
        <w:rPr>
          <w:rFonts w:ascii="Cambria" w:hAnsi="Cambria"/>
          <w:b/>
          <w:bCs/>
          <w:color w:val="auto"/>
          <w:sz w:val="28"/>
          <w:szCs w:val="28"/>
        </w:rPr>
        <w:t>6. Retirada de la UE</w:t>
      </w:r>
    </w:p>
    <w:p w14:paraId="06C75EF3" w14:textId="4D1D3E19" w:rsidR="008A0AD0" w:rsidRPr="00D377FA" w:rsidRDefault="008A0AD0" w:rsidP="00D377FA">
      <w:pPr>
        <w:numPr>
          <w:ilvl w:val="0"/>
          <w:numId w:val="17"/>
        </w:numPr>
        <w:jc w:val="both"/>
        <w:rPr>
          <w:rFonts w:ascii="Cambria" w:hAnsi="Cambria"/>
        </w:rPr>
      </w:pPr>
      <w:r w:rsidRPr="00D377FA">
        <w:rPr>
          <w:rFonts w:ascii="Cambria" w:hAnsi="Cambria"/>
        </w:rPr>
        <w:t>Regulado por el Artículo 50 del TUE.</w:t>
      </w:r>
    </w:p>
    <w:p w14:paraId="299238BE" w14:textId="3811D4EA" w:rsidR="008A0AD0" w:rsidRPr="00D377FA" w:rsidRDefault="008A0AD0" w:rsidP="00D377FA">
      <w:pPr>
        <w:numPr>
          <w:ilvl w:val="0"/>
          <w:numId w:val="17"/>
        </w:numPr>
        <w:jc w:val="both"/>
        <w:rPr>
          <w:rFonts w:ascii="Cambria" w:hAnsi="Cambria"/>
        </w:rPr>
      </w:pPr>
      <w:r w:rsidRPr="00D377FA">
        <w:rPr>
          <w:rFonts w:ascii="Cambria" w:hAnsi="Cambria"/>
        </w:rPr>
        <w:t>Notificación al Consejo Europeo</w:t>
      </w:r>
      <w:r w:rsidR="002325F1" w:rsidRPr="00D377FA">
        <w:rPr>
          <w:rFonts w:ascii="Cambria" w:hAnsi="Cambria"/>
        </w:rPr>
        <w:t xml:space="preserve"> </w:t>
      </w:r>
      <w:r w:rsidRPr="00D377FA">
        <w:rPr>
          <w:rFonts w:ascii="Cambria" w:hAnsi="Cambria"/>
        </w:rPr>
        <w:t>Negociación del acuerdo</w:t>
      </w:r>
    </w:p>
    <w:p w14:paraId="699787CB" w14:textId="280C1F5E" w:rsidR="008A0AD0" w:rsidRPr="00D377FA" w:rsidRDefault="008A0AD0" w:rsidP="00D377FA">
      <w:pPr>
        <w:numPr>
          <w:ilvl w:val="0"/>
          <w:numId w:val="17"/>
        </w:numPr>
        <w:jc w:val="both"/>
        <w:rPr>
          <w:rFonts w:ascii="Cambria" w:hAnsi="Cambria"/>
        </w:rPr>
      </w:pPr>
      <w:r w:rsidRPr="00D377FA">
        <w:rPr>
          <w:rFonts w:ascii="Cambria" w:hAnsi="Cambria"/>
        </w:rPr>
        <w:t>Cese de aplicación de Tratados: A la entrada en vigor del acuerdo o a los 2 años de la notificación</w:t>
      </w:r>
    </w:p>
    <w:p w14:paraId="322349B2" w14:textId="77777777" w:rsidR="00A65383" w:rsidRPr="00D377FA" w:rsidRDefault="00A65383" w:rsidP="00D377FA">
      <w:pPr>
        <w:jc w:val="both"/>
        <w:rPr>
          <w:rFonts w:ascii="Cambria" w:hAnsi="Cambria"/>
        </w:rPr>
      </w:pPr>
    </w:p>
    <w:sectPr w:rsidR="00A65383" w:rsidRPr="00D377FA">
      <w:head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BE1BB1" w14:textId="77777777" w:rsidR="008A0AD0" w:rsidRDefault="008A0AD0" w:rsidP="008A0AD0">
      <w:pPr>
        <w:spacing w:after="0" w:line="240" w:lineRule="auto"/>
      </w:pPr>
      <w:r>
        <w:separator/>
      </w:r>
    </w:p>
  </w:endnote>
  <w:endnote w:type="continuationSeparator" w:id="0">
    <w:p w14:paraId="7ACE95EB" w14:textId="77777777" w:rsidR="008A0AD0" w:rsidRDefault="008A0AD0" w:rsidP="008A0A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45E276" w14:textId="77777777" w:rsidR="008A0AD0" w:rsidRDefault="008A0AD0" w:rsidP="008A0AD0">
      <w:pPr>
        <w:spacing w:after="0" w:line="240" w:lineRule="auto"/>
      </w:pPr>
      <w:r>
        <w:separator/>
      </w:r>
    </w:p>
  </w:footnote>
  <w:footnote w:type="continuationSeparator" w:id="0">
    <w:p w14:paraId="1BE909E0" w14:textId="77777777" w:rsidR="008A0AD0" w:rsidRDefault="008A0AD0" w:rsidP="008A0A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8FA88" w14:textId="2D3D5DD6" w:rsidR="008A0AD0" w:rsidRPr="008A0AD0" w:rsidRDefault="008A0AD0" w:rsidP="008A0AD0">
    <w:pPr>
      <w:pStyle w:val="Encabezado"/>
      <w:jc w:val="both"/>
      <w:rPr>
        <w:rFonts w:ascii="Palatino Linotype" w:hAnsi="Palatino Linotype"/>
        <w:i/>
        <w:iCs/>
      </w:rPr>
    </w:pPr>
    <w:r w:rsidRPr="008A0AD0">
      <w:rPr>
        <w:rFonts w:ascii="Palatino Linotype" w:hAnsi="Palatino Linotype"/>
        <w:b/>
        <w:bCs/>
        <w:i/>
        <w:iCs/>
      </w:rPr>
      <w:t>TEMA 42 -</w:t>
    </w:r>
    <w:r w:rsidRPr="008A0AD0">
      <w:rPr>
        <w:rFonts w:ascii="Palatino Linotype" w:hAnsi="Palatino Linotype"/>
        <w:i/>
        <w:iCs/>
      </w:rPr>
      <w:t xml:space="preserve"> Las Instituciones de la Unión Europea: El Consejo Europeo. El Consejo de la UE. La Comisión europea. El Parlamento europeo. El Tribunal de Justicia de la UE. El Banco central europeo. El Tribunal de cuentas de la UE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A54AE"/>
    <w:multiLevelType w:val="hybridMultilevel"/>
    <w:tmpl w:val="E0361DAA"/>
    <w:lvl w:ilvl="0" w:tplc="4CF0F932">
      <w:start w:val="1"/>
      <w:numFmt w:val="bullet"/>
      <w:lvlText w:val=""/>
      <w:lvlJc w:val="left"/>
      <w:pPr>
        <w:tabs>
          <w:tab w:val="num" w:pos="720"/>
        </w:tabs>
        <w:ind w:left="720" w:hanging="360"/>
      </w:pPr>
      <w:rPr>
        <w:rFonts w:ascii="Symbol" w:hAnsi="Symbol" w:hint="default"/>
        <w:sz w:val="20"/>
      </w:rPr>
    </w:lvl>
    <w:lvl w:ilvl="1" w:tplc="9A96D354">
      <w:start w:val="1"/>
      <w:numFmt w:val="decimal"/>
      <w:lvlText w:val="%2."/>
      <w:lvlJc w:val="left"/>
      <w:pPr>
        <w:tabs>
          <w:tab w:val="num" w:pos="1440"/>
        </w:tabs>
        <w:ind w:left="1440" w:hanging="360"/>
      </w:pPr>
    </w:lvl>
    <w:lvl w:ilvl="2" w:tplc="E3362BCC" w:tentative="1">
      <w:start w:val="1"/>
      <w:numFmt w:val="bullet"/>
      <w:lvlText w:val=""/>
      <w:lvlJc w:val="left"/>
      <w:pPr>
        <w:tabs>
          <w:tab w:val="num" w:pos="2160"/>
        </w:tabs>
        <w:ind w:left="2160" w:hanging="360"/>
      </w:pPr>
      <w:rPr>
        <w:rFonts w:ascii="Wingdings" w:hAnsi="Wingdings" w:hint="default"/>
        <w:sz w:val="20"/>
      </w:rPr>
    </w:lvl>
    <w:lvl w:ilvl="3" w:tplc="A4BA0582" w:tentative="1">
      <w:start w:val="1"/>
      <w:numFmt w:val="bullet"/>
      <w:lvlText w:val=""/>
      <w:lvlJc w:val="left"/>
      <w:pPr>
        <w:tabs>
          <w:tab w:val="num" w:pos="2880"/>
        </w:tabs>
        <w:ind w:left="2880" w:hanging="360"/>
      </w:pPr>
      <w:rPr>
        <w:rFonts w:ascii="Wingdings" w:hAnsi="Wingdings" w:hint="default"/>
        <w:sz w:val="20"/>
      </w:rPr>
    </w:lvl>
    <w:lvl w:ilvl="4" w:tplc="9A180432" w:tentative="1">
      <w:start w:val="1"/>
      <w:numFmt w:val="bullet"/>
      <w:lvlText w:val=""/>
      <w:lvlJc w:val="left"/>
      <w:pPr>
        <w:tabs>
          <w:tab w:val="num" w:pos="3600"/>
        </w:tabs>
        <w:ind w:left="3600" w:hanging="360"/>
      </w:pPr>
      <w:rPr>
        <w:rFonts w:ascii="Wingdings" w:hAnsi="Wingdings" w:hint="default"/>
        <w:sz w:val="20"/>
      </w:rPr>
    </w:lvl>
    <w:lvl w:ilvl="5" w:tplc="57C82B96" w:tentative="1">
      <w:start w:val="1"/>
      <w:numFmt w:val="bullet"/>
      <w:lvlText w:val=""/>
      <w:lvlJc w:val="left"/>
      <w:pPr>
        <w:tabs>
          <w:tab w:val="num" w:pos="4320"/>
        </w:tabs>
        <w:ind w:left="4320" w:hanging="360"/>
      </w:pPr>
      <w:rPr>
        <w:rFonts w:ascii="Wingdings" w:hAnsi="Wingdings" w:hint="default"/>
        <w:sz w:val="20"/>
      </w:rPr>
    </w:lvl>
    <w:lvl w:ilvl="6" w:tplc="655AA128" w:tentative="1">
      <w:start w:val="1"/>
      <w:numFmt w:val="bullet"/>
      <w:lvlText w:val=""/>
      <w:lvlJc w:val="left"/>
      <w:pPr>
        <w:tabs>
          <w:tab w:val="num" w:pos="5040"/>
        </w:tabs>
        <w:ind w:left="5040" w:hanging="360"/>
      </w:pPr>
      <w:rPr>
        <w:rFonts w:ascii="Wingdings" w:hAnsi="Wingdings" w:hint="default"/>
        <w:sz w:val="20"/>
      </w:rPr>
    </w:lvl>
    <w:lvl w:ilvl="7" w:tplc="04EAC664" w:tentative="1">
      <w:start w:val="1"/>
      <w:numFmt w:val="bullet"/>
      <w:lvlText w:val=""/>
      <w:lvlJc w:val="left"/>
      <w:pPr>
        <w:tabs>
          <w:tab w:val="num" w:pos="5760"/>
        </w:tabs>
        <w:ind w:left="5760" w:hanging="360"/>
      </w:pPr>
      <w:rPr>
        <w:rFonts w:ascii="Wingdings" w:hAnsi="Wingdings" w:hint="default"/>
        <w:sz w:val="20"/>
      </w:rPr>
    </w:lvl>
    <w:lvl w:ilvl="8" w:tplc="A698B560"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D43A82"/>
    <w:multiLevelType w:val="multilevel"/>
    <w:tmpl w:val="A42E11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42508E"/>
    <w:multiLevelType w:val="multilevel"/>
    <w:tmpl w:val="26F4D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595E80"/>
    <w:multiLevelType w:val="multilevel"/>
    <w:tmpl w:val="54F4A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D54D61"/>
    <w:multiLevelType w:val="multilevel"/>
    <w:tmpl w:val="8A8A4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B72A47"/>
    <w:multiLevelType w:val="multilevel"/>
    <w:tmpl w:val="451CCE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CC51B2"/>
    <w:multiLevelType w:val="multilevel"/>
    <w:tmpl w:val="ACB40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612C2E"/>
    <w:multiLevelType w:val="multilevel"/>
    <w:tmpl w:val="2284A2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B24F09"/>
    <w:multiLevelType w:val="multilevel"/>
    <w:tmpl w:val="BFF6B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7A3B61"/>
    <w:multiLevelType w:val="multilevel"/>
    <w:tmpl w:val="81AC2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E82D10"/>
    <w:multiLevelType w:val="hybridMultilevel"/>
    <w:tmpl w:val="1490303C"/>
    <w:lvl w:ilvl="0" w:tplc="F1C47120">
      <w:start w:val="1"/>
      <w:numFmt w:val="bullet"/>
      <w:lvlText w:val=""/>
      <w:lvlJc w:val="left"/>
      <w:pPr>
        <w:tabs>
          <w:tab w:val="num" w:pos="720"/>
        </w:tabs>
        <w:ind w:left="720" w:hanging="360"/>
      </w:pPr>
      <w:rPr>
        <w:rFonts w:ascii="Symbol" w:hAnsi="Symbol" w:hint="default"/>
        <w:sz w:val="20"/>
      </w:rPr>
    </w:lvl>
    <w:lvl w:ilvl="1" w:tplc="32BCD810">
      <w:start w:val="1"/>
      <w:numFmt w:val="decimal"/>
      <w:lvlText w:val="%2."/>
      <w:lvlJc w:val="left"/>
      <w:pPr>
        <w:tabs>
          <w:tab w:val="num" w:pos="1440"/>
        </w:tabs>
        <w:ind w:left="1440" w:hanging="360"/>
      </w:pPr>
    </w:lvl>
    <w:lvl w:ilvl="2" w:tplc="64568D1A" w:tentative="1">
      <w:start w:val="1"/>
      <w:numFmt w:val="bullet"/>
      <w:lvlText w:val=""/>
      <w:lvlJc w:val="left"/>
      <w:pPr>
        <w:tabs>
          <w:tab w:val="num" w:pos="2160"/>
        </w:tabs>
        <w:ind w:left="2160" w:hanging="360"/>
      </w:pPr>
      <w:rPr>
        <w:rFonts w:ascii="Wingdings" w:hAnsi="Wingdings" w:hint="default"/>
        <w:sz w:val="20"/>
      </w:rPr>
    </w:lvl>
    <w:lvl w:ilvl="3" w:tplc="C7D6FA46" w:tentative="1">
      <w:start w:val="1"/>
      <w:numFmt w:val="bullet"/>
      <w:lvlText w:val=""/>
      <w:lvlJc w:val="left"/>
      <w:pPr>
        <w:tabs>
          <w:tab w:val="num" w:pos="2880"/>
        </w:tabs>
        <w:ind w:left="2880" w:hanging="360"/>
      </w:pPr>
      <w:rPr>
        <w:rFonts w:ascii="Wingdings" w:hAnsi="Wingdings" w:hint="default"/>
        <w:sz w:val="20"/>
      </w:rPr>
    </w:lvl>
    <w:lvl w:ilvl="4" w:tplc="172899FC" w:tentative="1">
      <w:start w:val="1"/>
      <w:numFmt w:val="bullet"/>
      <w:lvlText w:val=""/>
      <w:lvlJc w:val="left"/>
      <w:pPr>
        <w:tabs>
          <w:tab w:val="num" w:pos="3600"/>
        </w:tabs>
        <w:ind w:left="3600" w:hanging="360"/>
      </w:pPr>
      <w:rPr>
        <w:rFonts w:ascii="Wingdings" w:hAnsi="Wingdings" w:hint="default"/>
        <w:sz w:val="20"/>
      </w:rPr>
    </w:lvl>
    <w:lvl w:ilvl="5" w:tplc="C484A1D8" w:tentative="1">
      <w:start w:val="1"/>
      <w:numFmt w:val="bullet"/>
      <w:lvlText w:val=""/>
      <w:lvlJc w:val="left"/>
      <w:pPr>
        <w:tabs>
          <w:tab w:val="num" w:pos="4320"/>
        </w:tabs>
        <w:ind w:left="4320" w:hanging="360"/>
      </w:pPr>
      <w:rPr>
        <w:rFonts w:ascii="Wingdings" w:hAnsi="Wingdings" w:hint="default"/>
        <w:sz w:val="20"/>
      </w:rPr>
    </w:lvl>
    <w:lvl w:ilvl="6" w:tplc="5D2A68B0" w:tentative="1">
      <w:start w:val="1"/>
      <w:numFmt w:val="bullet"/>
      <w:lvlText w:val=""/>
      <w:lvlJc w:val="left"/>
      <w:pPr>
        <w:tabs>
          <w:tab w:val="num" w:pos="5040"/>
        </w:tabs>
        <w:ind w:left="5040" w:hanging="360"/>
      </w:pPr>
      <w:rPr>
        <w:rFonts w:ascii="Wingdings" w:hAnsi="Wingdings" w:hint="default"/>
        <w:sz w:val="20"/>
      </w:rPr>
    </w:lvl>
    <w:lvl w:ilvl="7" w:tplc="8A24FB14" w:tentative="1">
      <w:start w:val="1"/>
      <w:numFmt w:val="bullet"/>
      <w:lvlText w:val=""/>
      <w:lvlJc w:val="left"/>
      <w:pPr>
        <w:tabs>
          <w:tab w:val="num" w:pos="5760"/>
        </w:tabs>
        <w:ind w:left="5760" w:hanging="360"/>
      </w:pPr>
      <w:rPr>
        <w:rFonts w:ascii="Wingdings" w:hAnsi="Wingdings" w:hint="default"/>
        <w:sz w:val="20"/>
      </w:rPr>
    </w:lvl>
    <w:lvl w:ilvl="8" w:tplc="B8E47E02"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1C5907"/>
    <w:multiLevelType w:val="hybridMultilevel"/>
    <w:tmpl w:val="71C64A96"/>
    <w:lvl w:ilvl="0" w:tplc="EDEC02B2">
      <w:start w:val="1"/>
      <w:numFmt w:val="bullet"/>
      <w:lvlText w:val=""/>
      <w:lvlJc w:val="left"/>
      <w:pPr>
        <w:tabs>
          <w:tab w:val="num" w:pos="720"/>
        </w:tabs>
        <w:ind w:left="720" w:hanging="360"/>
      </w:pPr>
      <w:rPr>
        <w:rFonts w:ascii="Symbol" w:hAnsi="Symbol" w:hint="default"/>
        <w:sz w:val="20"/>
      </w:rPr>
    </w:lvl>
    <w:lvl w:ilvl="1" w:tplc="E36C55F0">
      <w:start w:val="1"/>
      <w:numFmt w:val="decimal"/>
      <w:lvlText w:val="%2."/>
      <w:lvlJc w:val="left"/>
      <w:pPr>
        <w:tabs>
          <w:tab w:val="num" w:pos="1440"/>
        </w:tabs>
        <w:ind w:left="1440" w:hanging="360"/>
      </w:pPr>
    </w:lvl>
    <w:lvl w:ilvl="2" w:tplc="45F6575C" w:tentative="1">
      <w:start w:val="1"/>
      <w:numFmt w:val="bullet"/>
      <w:lvlText w:val=""/>
      <w:lvlJc w:val="left"/>
      <w:pPr>
        <w:tabs>
          <w:tab w:val="num" w:pos="2160"/>
        </w:tabs>
        <w:ind w:left="2160" w:hanging="360"/>
      </w:pPr>
      <w:rPr>
        <w:rFonts w:ascii="Wingdings" w:hAnsi="Wingdings" w:hint="default"/>
        <w:sz w:val="20"/>
      </w:rPr>
    </w:lvl>
    <w:lvl w:ilvl="3" w:tplc="FC5CE402" w:tentative="1">
      <w:start w:val="1"/>
      <w:numFmt w:val="bullet"/>
      <w:lvlText w:val=""/>
      <w:lvlJc w:val="left"/>
      <w:pPr>
        <w:tabs>
          <w:tab w:val="num" w:pos="2880"/>
        </w:tabs>
        <w:ind w:left="2880" w:hanging="360"/>
      </w:pPr>
      <w:rPr>
        <w:rFonts w:ascii="Wingdings" w:hAnsi="Wingdings" w:hint="default"/>
        <w:sz w:val="20"/>
      </w:rPr>
    </w:lvl>
    <w:lvl w:ilvl="4" w:tplc="A23C5468" w:tentative="1">
      <w:start w:val="1"/>
      <w:numFmt w:val="bullet"/>
      <w:lvlText w:val=""/>
      <w:lvlJc w:val="left"/>
      <w:pPr>
        <w:tabs>
          <w:tab w:val="num" w:pos="3600"/>
        </w:tabs>
        <w:ind w:left="3600" w:hanging="360"/>
      </w:pPr>
      <w:rPr>
        <w:rFonts w:ascii="Wingdings" w:hAnsi="Wingdings" w:hint="default"/>
        <w:sz w:val="20"/>
      </w:rPr>
    </w:lvl>
    <w:lvl w:ilvl="5" w:tplc="AD7C0F82" w:tentative="1">
      <w:start w:val="1"/>
      <w:numFmt w:val="bullet"/>
      <w:lvlText w:val=""/>
      <w:lvlJc w:val="left"/>
      <w:pPr>
        <w:tabs>
          <w:tab w:val="num" w:pos="4320"/>
        </w:tabs>
        <w:ind w:left="4320" w:hanging="360"/>
      </w:pPr>
      <w:rPr>
        <w:rFonts w:ascii="Wingdings" w:hAnsi="Wingdings" w:hint="default"/>
        <w:sz w:val="20"/>
      </w:rPr>
    </w:lvl>
    <w:lvl w:ilvl="6" w:tplc="57F2410E" w:tentative="1">
      <w:start w:val="1"/>
      <w:numFmt w:val="bullet"/>
      <w:lvlText w:val=""/>
      <w:lvlJc w:val="left"/>
      <w:pPr>
        <w:tabs>
          <w:tab w:val="num" w:pos="5040"/>
        </w:tabs>
        <w:ind w:left="5040" w:hanging="360"/>
      </w:pPr>
      <w:rPr>
        <w:rFonts w:ascii="Wingdings" w:hAnsi="Wingdings" w:hint="default"/>
        <w:sz w:val="20"/>
      </w:rPr>
    </w:lvl>
    <w:lvl w:ilvl="7" w:tplc="06BEE340" w:tentative="1">
      <w:start w:val="1"/>
      <w:numFmt w:val="bullet"/>
      <w:lvlText w:val=""/>
      <w:lvlJc w:val="left"/>
      <w:pPr>
        <w:tabs>
          <w:tab w:val="num" w:pos="5760"/>
        </w:tabs>
        <w:ind w:left="5760" w:hanging="360"/>
      </w:pPr>
      <w:rPr>
        <w:rFonts w:ascii="Wingdings" w:hAnsi="Wingdings" w:hint="default"/>
        <w:sz w:val="20"/>
      </w:rPr>
    </w:lvl>
    <w:lvl w:ilvl="8" w:tplc="8C9CC3DC"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38367A"/>
    <w:multiLevelType w:val="multilevel"/>
    <w:tmpl w:val="68343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BD41A8"/>
    <w:multiLevelType w:val="multilevel"/>
    <w:tmpl w:val="FCA86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436FBE"/>
    <w:multiLevelType w:val="multilevel"/>
    <w:tmpl w:val="338CC7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445B78"/>
    <w:multiLevelType w:val="multilevel"/>
    <w:tmpl w:val="9C84F1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5489678">
    <w:abstractNumId w:val="2"/>
  </w:num>
  <w:num w:numId="2" w16cid:durableId="1833520656">
    <w:abstractNumId w:val="13"/>
  </w:num>
  <w:num w:numId="3" w16cid:durableId="1416584940">
    <w:abstractNumId w:val="15"/>
  </w:num>
  <w:num w:numId="4" w16cid:durableId="105001091">
    <w:abstractNumId w:val="8"/>
  </w:num>
  <w:num w:numId="5" w16cid:durableId="495076074">
    <w:abstractNumId w:val="9"/>
  </w:num>
  <w:num w:numId="6" w16cid:durableId="1179663872">
    <w:abstractNumId w:val="7"/>
  </w:num>
  <w:num w:numId="7" w16cid:durableId="1505778361">
    <w:abstractNumId w:val="10"/>
  </w:num>
  <w:num w:numId="8" w16cid:durableId="754669025">
    <w:abstractNumId w:val="3"/>
  </w:num>
  <w:num w:numId="9" w16cid:durableId="642585968">
    <w:abstractNumId w:val="11"/>
  </w:num>
  <w:num w:numId="10" w16cid:durableId="1459254233">
    <w:abstractNumId w:val="5"/>
  </w:num>
  <w:num w:numId="11" w16cid:durableId="1430078291">
    <w:abstractNumId w:val="0"/>
  </w:num>
  <w:num w:numId="12" w16cid:durableId="518205300">
    <w:abstractNumId w:val="1"/>
  </w:num>
  <w:num w:numId="13" w16cid:durableId="620646328">
    <w:abstractNumId w:val="1"/>
    <w:lvlOverride w:ilvl="1">
      <w:lvl w:ilvl="1">
        <w:numFmt w:val="bullet"/>
        <w:lvlText w:val="o"/>
        <w:lvlJc w:val="left"/>
        <w:pPr>
          <w:tabs>
            <w:tab w:val="num" w:pos="1440"/>
          </w:tabs>
          <w:ind w:left="1440" w:hanging="360"/>
        </w:pPr>
        <w:rPr>
          <w:rFonts w:ascii="Courier New" w:hAnsi="Courier New" w:hint="default"/>
          <w:sz w:val="20"/>
        </w:rPr>
      </w:lvl>
    </w:lvlOverride>
  </w:num>
  <w:num w:numId="14" w16cid:durableId="1479566091">
    <w:abstractNumId w:val="14"/>
  </w:num>
  <w:num w:numId="15" w16cid:durableId="340744165">
    <w:abstractNumId w:val="12"/>
  </w:num>
  <w:num w:numId="16" w16cid:durableId="663701273">
    <w:abstractNumId w:val="4"/>
  </w:num>
  <w:num w:numId="17" w16cid:durableId="69318728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AD0"/>
    <w:rsid w:val="002325F1"/>
    <w:rsid w:val="002F58EA"/>
    <w:rsid w:val="004B6E03"/>
    <w:rsid w:val="005803BC"/>
    <w:rsid w:val="00603CCC"/>
    <w:rsid w:val="00792BA3"/>
    <w:rsid w:val="008A0AD0"/>
    <w:rsid w:val="008B3F43"/>
    <w:rsid w:val="00A65383"/>
    <w:rsid w:val="00A8675C"/>
    <w:rsid w:val="00AA2060"/>
    <w:rsid w:val="00C12CFD"/>
    <w:rsid w:val="00D377FA"/>
    <w:rsid w:val="00E3370F"/>
    <w:rsid w:val="00F6007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835F27"/>
  <w15:chartTrackingRefBased/>
  <w15:docId w15:val="{69A1A99C-9627-4554-A544-1102D1A5B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A0A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A0A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A0AD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A0AD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A0AD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A0AD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A0AD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A0AD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A0AD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8675C"/>
    <w:pPr>
      <w:ind w:left="720"/>
      <w:contextualSpacing/>
    </w:pPr>
  </w:style>
  <w:style w:type="character" w:customStyle="1" w:styleId="Ttulo1Car">
    <w:name w:val="Título 1 Car"/>
    <w:basedOn w:val="Fuentedeprrafopredeter"/>
    <w:link w:val="Ttulo1"/>
    <w:uiPriority w:val="9"/>
    <w:rsid w:val="008A0AD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A0AD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A0AD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A0AD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A0AD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A0AD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A0AD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A0AD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A0AD0"/>
    <w:rPr>
      <w:rFonts w:eastAsiaTheme="majorEastAsia" w:cstheme="majorBidi"/>
      <w:color w:val="272727" w:themeColor="text1" w:themeTint="D8"/>
    </w:rPr>
  </w:style>
  <w:style w:type="paragraph" w:styleId="Ttulo">
    <w:name w:val="Title"/>
    <w:basedOn w:val="Normal"/>
    <w:next w:val="Normal"/>
    <w:link w:val="TtuloCar"/>
    <w:uiPriority w:val="10"/>
    <w:qFormat/>
    <w:rsid w:val="008A0A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A0AD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A0AD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A0AD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A0AD0"/>
    <w:pPr>
      <w:spacing w:before="160"/>
      <w:jc w:val="center"/>
    </w:pPr>
    <w:rPr>
      <w:i/>
      <w:iCs/>
      <w:color w:val="404040" w:themeColor="text1" w:themeTint="BF"/>
    </w:rPr>
  </w:style>
  <w:style w:type="character" w:customStyle="1" w:styleId="CitaCar">
    <w:name w:val="Cita Car"/>
    <w:basedOn w:val="Fuentedeprrafopredeter"/>
    <w:link w:val="Cita"/>
    <w:uiPriority w:val="29"/>
    <w:rsid w:val="008A0AD0"/>
    <w:rPr>
      <w:i/>
      <w:iCs/>
      <w:color w:val="404040" w:themeColor="text1" w:themeTint="BF"/>
    </w:rPr>
  </w:style>
  <w:style w:type="character" w:styleId="nfasisintenso">
    <w:name w:val="Intense Emphasis"/>
    <w:basedOn w:val="Fuentedeprrafopredeter"/>
    <w:uiPriority w:val="21"/>
    <w:qFormat/>
    <w:rsid w:val="008A0AD0"/>
    <w:rPr>
      <w:i/>
      <w:iCs/>
      <w:color w:val="0F4761" w:themeColor="accent1" w:themeShade="BF"/>
    </w:rPr>
  </w:style>
  <w:style w:type="paragraph" w:styleId="Citadestacada">
    <w:name w:val="Intense Quote"/>
    <w:basedOn w:val="Normal"/>
    <w:next w:val="Normal"/>
    <w:link w:val="CitadestacadaCar"/>
    <w:uiPriority w:val="30"/>
    <w:qFormat/>
    <w:rsid w:val="008A0A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A0AD0"/>
    <w:rPr>
      <w:i/>
      <w:iCs/>
      <w:color w:val="0F4761" w:themeColor="accent1" w:themeShade="BF"/>
    </w:rPr>
  </w:style>
  <w:style w:type="character" w:styleId="Referenciaintensa">
    <w:name w:val="Intense Reference"/>
    <w:basedOn w:val="Fuentedeprrafopredeter"/>
    <w:uiPriority w:val="32"/>
    <w:qFormat/>
    <w:rsid w:val="008A0AD0"/>
    <w:rPr>
      <w:b/>
      <w:bCs/>
      <w:smallCaps/>
      <w:color w:val="0F4761" w:themeColor="accent1" w:themeShade="BF"/>
      <w:spacing w:val="5"/>
    </w:rPr>
  </w:style>
  <w:style w:type="paragraph" w:styleId="Encabezado">
    <w:name w:val="header"/>
    <w:basedOn w:val="Normal"/>
    <w:link w:val="EncabezadoCar"/>
    <w:uiPriority w:val="99"/>
    <w:unhideWhenUsed/>
    <w:rsid w:val="008A0AD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A0AD0"/>
  </w:style>
  <w:style w:type="paragraph" w:styleId="Piedepgina">
    <w:name w:val="footer"/>
    <w:basedOn w:val="Normal"/>
    <w:link w:val="PiedepginaCar"/>
    <w:uiPriority w:val="99"/>
    <w:unhideWhenUsed/>
    <w:rsid w:val="008A0AD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A0A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142</TotalTime>
  <Pages>6</Pages>
  <Words>1134</Words>
  <Characters>6237</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Argudo Santiago, Sergio</dc:creator>
  <cp:keywords/>
  <dc:description/>
  <cp:lastModifiedBy>Argudo Santiago, Sergio</cp:lastModifiedBy>
  <cp:revision>5</cp:revision>
  <dcterms:created xsi:type="dcterms:W3CDTF">2025-11-24T12:47:00Z</dcterms:created>
  <dcterms:modified xsi:type="dcterms:W3CDTF">2026-01-14T14:31:00Z</dcterms:modified>
</cp:coreProperties>
</file>