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D2855" w14:textId="77777777" w:rsidR="00A222CB" w:rsidRPr="00303024" w:rsidRDefault="00A222CB" w:rsidP="00303024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03024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0C212744" w14:textId="77777777" w:rsidR="00A222CB" w:rsidRPr="00303024" w:rsidRDefault="00A222CB" w:rsidP="0030302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03024">
        <w:rPr>
          <w:rFonts w:ascii="Cambria" w:hAnsi="Cambria"/>
          <w:b/>
          <w:bCs/>
          <w:color w:val="auto"/>
          <w:sz w:val="24"/>
          <w:szCs w:val="24"/>
        </w:rPr>
        <w:t>1.1. Justificación y Fundamentos</w:t>
      </w:r>
    </w:p>
    <w:p w14:paraId="6EEC12C6" w14:textId="69DAC709" w:rsidR="00A222CB" w:rsidRPr="00303024" w:rsidRDefault="00A222CB" w:rsidP="00303024">
      <w:pPr>
        <w:numPr>
          <w:ilvl w:val="1"/>
          <w:numId w:val="19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La Política Pesquera Común se justifica por motivos biológicos (evitar sobreexplotación), económicos (déficit de productos cubierto por importaciones) y sociales (dependencia de regiones litorales).</w:t>
      </w:r>
    </w:p>
    <w:p w14:paraId="7199232C" w14:textId="77777777" w:rsidR="00A222CB" w:rsidRPr="00303024" w:rsidRDefault="00A222CB" w:rsidP="00303024">
      <w:pPr>
        <w:numPr>
          <w:ilvl w:val="1"/>
          <w:numId w:val="19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Se fundamenta en los artículos 38 a 43 del TFUE y busca gestionar flotas y conservar recursos.</w:t>
      </w:r>
    </w:p>
    <w:p w14:paraId="1AE748E5" w14:textId="77777777" w:rsidR="00A222CB" w:rsidRPr="00303024" w:rsidRDefault="00A222CB" w:rsidP="00303024">
      <w:pPr>
        <w:numPr>
          <w:ilvl w:val="1"/>
          <w:numId w:val="19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Garantiza igualdad de acceso a los caladeros y competencia equitativa.</w:t>
      </w:r>
    </w:p>
    <w:p w14:paraId="35E4410C" w14:textId="77777777" w:rsidR="00A222CB" w:rsidRPr="00303024" w:rsidRDefault="00A222CB" w:rsidP="0030302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03024">
        <w:rPr>
          <w:rFonts w:ascii="Cambria" w:hAnsi="Cambria"/>
          <w:b/>
          <w:bCs/>
          <w:color w:val="auto"/>
          <w:sz w:val="24"/>
          <w:szCs w:val="24"/>
        </w:rPr>
        <w:t>1.2. Objetivos Generales</w:t>
      </w:r>
    </w:p>
    <w:p w14:paraId="10A04A9F" w14:textId="77777777" w:rsidR="00A222CB" w:rsidRPr="00303024" w:rsidRDefault="00A222CB" w:rsidP="00303024">
      <w:pPr>
        <w:numPr>
          <w:ilvl w:val="1"/>
          <w:numId w:val="19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Garantizar la sostenibilidad ambiental, económica y social de la pesca y la acuicultura.</w:t>
      </w:r>
    </w:p>
    <w:p w14:paraId="705B6065" w14:textId="77777777" w:rsidR="00A222CB" w:rsidRPr="00303024" w:rsidRDefault="00A222CB" w:rsidP="00303024">
      <w:pPr>
        <w:numPr>
          <w:ilvl w:val="1"/>
          <w:numId w:val="19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Dinamizar el sector y asegurar un nivel de vida justo.</w:t>
      </w:r>
    </w:p>
    <w:p w14:paraId="7C8DEA17" w14:textId="77777777" w:rsidR="00A222CB" w:rsidRPr="00303024" w:rsidRDefault="00A222CB" w:rsidP="00303024">
      <w:pPr>
        <w:numPr>
          <w:ilvl w:val="1"/>
          <w:numId w:val="19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Adopta un enfoque cautelar y busca suprimir los descartes.</w:t>
      </w:r>
    </w:p>
    <w:p w14:paraId="6B5A67AB" w14:textId="77777777" w:rsidR="00A222CB" w:rsidRPr="00303024" w:rsidRDefault="00A222CB" w:rsidP="00303024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03024">
        <w:rPr>
          <w:rFonts w:ascii="Cambria" w:hAnsi="Cambria"/>
          <w:b/>
          <w:bCs/>
          <w:color w:val="auto"/>
          <w:sz w:val="28"/>
          <w:szCs w:val="28"/>
        </w:rPr>
        <w:t>2. ORIGEN Y EVOLUCIÓN DE LA PPC</w:t>
      </w:r>
    </w:p>
    <w:p w14:paraId="0647F9F2" w14:textId="77777777" w:rsidR="00A222CB" w:rsidRPr="00303024" w:rsidRDefault="00A222CB" w:rsidP="0030302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03024">
        <w:rPr>
          <w:rFonts w:ascii="Cambria" w:hAnsi="Cambria"/>
          <w:b/>
          <w:bCs/>
          <w:color w:val="auto"/>
          <w:sz w:val="24"/>
          <w:szCs w:val="24"/>
        </w:rPr>
        <w:t>2.1. Etapas Iniciales (1957-1992)</w:t>
      </w:r>
    </w:p>
    <w:p w14:paraId="124C5EE8" w14:textId="77777777" w:rsidR="00A222CB" w:rsidRPr="00303024" w:rsidRDefault="00A222CB" w:rsidP="00303024">
      <w:pPr>
        <w:numPr>
          <w:ilvl w:val="1"/>
          <w:numId w:val="20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1957: Tratado de Roma, vinculación inicial a la PAC.</w:t>
      </w:r>
    </w:p>
    <w:p w14:paraId="16E1A148" w14:textId="77777777" w:rsidR="00A222CB" w:rsidRPr="00303024" w:rsidRDefault="00A222CB" w:rsidP="00303024">
      <w:pPr>
        <w:numPr>
          <w:ilvl w:val="1"/>
          <w:numId w:val="20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1970: Primeras decisiones sobre mercados y estructuras.</w:t>
      </w:r>
    </w:p>
    <w:p w14:paraId="68F50711" w14:textId="097A723C" w:rsidR="00A222CB" w:rsidRPr="00303024" w:rsidRDefault="00A222CB" w:rsidP="00303024">
      <w:pPr>
        <w:numPr>
          <w:ilvl w:val="1"/>
          <w:numId w:val="20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1976-1977: Creación de la Dirección General de Pesca y establecimiento de Zonas Económicas Exclusivas de 200 millas.</w:t>
      </w:r>
    </w:p>
    <w:p w14:paraId="1B1D150F" w14:textId="77777777" w:rsidR="00A222CB" w:rsidRPr="00303024" w:rsidRDefault="00A222CB" w:rsidP="00303024">
      <w:pPr>
        <w:numPr>
          <w:ilvl w:val="1"/>
          <w:numId w:val="20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1983: Acuerdo para una PPC de nueva generación (gestión de recursos, mercados, estructuras y relaciones exteriores).</w:t>
      </w:r>
    </w:p>
    <w:p w14:paraId="45BD99EB" w14:textId="10A5D16E" w:rsidR="00A222CB" w:rsidRPr="00303024" w:rsidRDefault="00A222CB" w:rsidP="00303024">
      <w:pPr>
        <w:numPr>
          <w:ilvl w:val="1"/>
          <w:numId w:val="20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1992: Revisión para regular el exceso de capacidad e introducción del concepto de esfuerzo pesquero.</w:t>
      </w:r>
    </w:p>
    <w:p w14:paraId="15C6B26D" w14:textId="77777777" w:rsidR="00A222CB" w:rsidRPr="00303024" w:rsidRDefault="00A222CB" w:rsidP="0030302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03024">
        <w:rPr>
          <w:rFonts w:ascii="Cambria" w:hAnsi="Cambria"/>
          <w:b/>
          <w:bCs/>
          <w:color w:val="auto"/>
          <w:sz w:val="24"/>
          <w:szCs w:val="24"/>
        </w:rPr>
        <w:t>2.2. Reformas Recientes (2002-2013)</w:t>
      </w:r>
    </w:p>
    <w:p w14:paraId="02B7C237" w14:textId="77777777" w:rsidR="00A222CB" w:rsidRPr="00303024" w:rsidRDefault="00A222CB" w:rsidP="00303024">
      <w:pPr>
        <w:numPr>
          <w:ilvl w:val="1"/>
          <w:numId w:val="20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2002: Reforma para la sostenibilidad a largo plazo, nueva política de flotas, creación de Consejos Consultivos Regionales y de la Agencia Europea de Control de la Pesca (2005).</w:t>
      </w:r>
    </w:p>
    <w:p w14:paraId="5EA25773" w14:textId="77777777" w:rsidR="00A222CB" w:rsidRPr="00303024" w:rsidRDefault="00A222CB" w:rsidP="00303024">
      <w:pPr>
        <w:numPr>
          <w:ilvl w:val="1"/>
          <w:numId w:val="20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2013: Acuerdo para el régimen actual basado en tres pilares: la nueva PPC (Reglamento 1380/2013), la OCM (Reglamento 1379/2013) y el Fondo Europeo Marítimo y de Pesca.</w:t>
      </w:r>
    </w:p>
    <w:p w14:paraId="1501BBB6" w14:textId="77777777" w:rsidR="00A222CB" w:rsidRPr="00303024" w:rsidRDefault="00A222CB" w:rsidP="00303024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03024">
        <w:rPr>
          <w:rFonts w:ascii="Cambria" w:hAnsi="Cambria"/>
          <w:b/>
          <w:bCs/>
          <w:color w:val="auto"/>
          <w:sz w:val="28"/>
          <w:szCs w:val="28"/>
        </w:rPr>
        <w:lastRenderedPageBreak/>
        <w:t>3. LA NUEVA POLÍTICA PESQUERA COMÚN</w:t>
      </w:r>
    </w:p>
    <w:p w14:paraId="7E8AF2EE" w14:textId="77777777" w:rsidR="00A222CB" w:rsidRPr="00303024" w:rsidRDefault="00A222CB" w:rsidP="0030302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03024">
        <w:rPr>
          <w:rFonts w:ascii="Cambria" w:hAnsi="Cambria"/>
          <w:b/>
          <w:bCs/>
          <w:color w:val="auto"/>
          <w:sz w:val="24"/>
          <w:szCs w:val="24"/>
        </w:rPr>
        <w:t>3.1. Gestión de la Pesca</w:t>
      </w:r>
    </w:p>
    <w:p w14:paraId="33968F0B" w14:textId="0AA7953F" w:rsidR="00A222CB" w:rsidRPr="00303024" w:rsidRDefault="00A222CB" w:rsidP="00303024">
      <w:pPr>
        <w:numPr>
          <w:ilvl w:val="1"/>
          <w:numId w:val="21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t>Objetivos clave</w:t>
      </w:r>
      <w:r w:rsidRPr="00303024">
        <w:rPr>
          <w:rFonts w:ascii="Cambria" w:hAnsi="Cambria"/>
        </w:rPr>
        <w:t>: Rendimiento Máximo Sostenible, prohibición de descartes (obligación de desembarque) y gestión plurianual ecosistémica.</w:t>
      </w:r>
    </w:p>
    <w:p w14:paraId="31FA7921" w14:textId="77777777" w:rsidR="00A222CB" w:rsidRPr="00303024" w:rsidRDefault="00A222CB" w:rsidP="00303024">
      <w:pPr>
        <w:numPr>
          <w:ilvl w:val="1"/>
          <w:numId w:val="21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t>Gestión de la flota:</w:t>
      </w:r>
      <w:r w:rsidRPr="00303024">
        <w:rPr>
          <w:rFonts w:ascii="Cambria" w:hAnsi="Cambria"/>
        </w:rPr>
        <w:t xml:space="preserve"> Ajuste de capacidad mediante planes nacionales y sistema de concesiones de pesca transferibles.</w:t>
      </w:r>
    </w:p>
    <w:p w14:paraId="7105C28C" w14:textId="77777777" w:rsidR="00A222CB" w:rsidRPr="00303024" w:rsidRDefault="00A222CB" w:rsidP="00303024">
      <w:pPr>
        <w:numPr>
          <w:ilvl w:val="1"/>
          <w:numId w:val="21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t>Regionalización</w:t>
      </w:r>
      <w:r w:rsidRPr="00303024">
        <w:rPr>
          <w:rFonts w:ascii="Cambria" w:hAnsi="Cambria"/>
        </w:rPr>
        <w:t>: Mayor poder de control nacional/regional y consulta a partes interesadas.</w:t>
      </w:r>
    </w:p>
    <w:p w14:paraId="050573B8" w14:textId="7E7D63C9" w:rsidR="00A222CB" w:rsidRPr="00303024" w:rsidRDefault="00A222CB" w:rsidP="00303024">
      <w:pPr>
        <w:numPr>
          <w:ilvl w:val="1"/>
          <w:numId w:val="21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t>Posibilidades de pesca</w:t>
      </w:r>
      <w:r w:rsidRPr="00303024">
        <w:rPr>
          <w:rFonts w:ascii="Cambria" w:hAnsi="Cambria"/>
        </w:rPr>
        <w:t>: Asignación anual de Totales Admisibles de Capturas y cuotas basadas en dictámenes científicos.</w:t>
      </w:r>
    </w:p>
    <w:p w14:paraId="3D34FAE3" w14:textId="77777777" w:rsidR="00A222CB" w:rsidRPr="00303024" w:rsidRDefault="00A222CB" w:rsidP="00303024">
      <w:pPr>
        <w:numPr>
          <w:ilvl w:val="1"/>
          <w:numId w:val="21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t>Medidas específicas</w:t>
      </w:r>
      <w:r w:rsidRPr="00303024">
        <w:rPr>
          <w:rFonts w:ascii="Cambria" w:hAnsi="Cambria"/>
        </w:rPr>
        <w:t>: Apoyo a la pesca artesanal (restricción en las 12 millas y zonas ultraperiféricas) y fomento de la acuicultura sostenible.</w:t>
      </w:r>
    </w:p>
    <w:p w14:paraId="3489B447" w14:textId="77777777" w:rsidR="00A222CB" w:rsidRPr="00303024" w:rsidRDefault="00A222CB" w:rsidP="00303024">
      <w:pPr>
        <w:numPr>
          <w:ilvl w:val="1"/>
          <w:numId w:val="21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t>Controles</w:t>
      </w:r>
      <w:r w:rsidRPr="00303024">
        <w:rPr>
          <w:rFonts w:ascii="Cambria" w:hAnsi="Cambria"/>
        </w:rPr>
        <w:t>: De entrada (acceso, esfuerzo, medidas técnicas) y de salida (límites de capturas).</w:t>
      </w:r>
    </w:p>
    <w:p w14:paraId="21D5CB28" w14:textId="77777777" w:rsidR="00A222CB" w:rsidRPr="00303024" w:rsidRDefault="00A222CB" w:rsidP="00303024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03024">
        <w:rPr>
          <w:rFonts w:ascii="Cambria" w:hAnsi="Cambria"/>
          <w:b/>
          <w:bCs/>
          <w:color w:val="auto"/>
          <w:sz w:val="28"/>
          <w:szCs w:val="28"/>
        </w:rPr>
        <w:t>3.2. Política Internacional</w:t>
      </w:r>
    </w:p>
    <w:p w14:paraId="21DF7C53" w14:textId="6693495A" w:rsidR="00A222CB" w:rsidRPr="00303024" w:rsidRDefault="00A222CB" w:rsidP="00303024">
      <w:pPr>
        <w:numPr>
          <w:ilvl w:val="1"/>
          <w:numId w:val="21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t>Acuerdos Bilaterales de Colaboración</w:t>
      </w:r>
      <w:r w:rsidRPr="00303024">
        <w:rPr>
          <w:rFonts w:ascii="Cambria" w:hAnsi="Cambria"/>
        </w:rPr>
        <w:t>: Ofrecen ayuda financiera/técnica a cambio de derechos de acceso (ej. atuneros, mixtos como Groenlandia o Guinea-Bissau, y latentes).</w:t>
      </w:r>
    </w:p>
    <w:p w14:paraId="15B137E0" w14:textId="77777777" w:rsidR="00A222CB" w:rsidRPr="00303024" w:rsidRDefault="00A222CB" w:rsidP="00303024">
      <w:pPr>
        <w:numPr>
          <w:ilvl w:val="1"/>
          <w:numId w:val="21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t>Caso Marruecos</w:t>
      </w:r>
      <w:r w:rsidRPr="00303024">
        <w:rPr>
          <w:rFonts w:ascii="Cambria" w:hAnsi="Cambria"/>
        </w:rPr>
        <w:t>: Acuerdo de 2019 anulado por el TJUE en 2024 por incluir el Sáhara Occidental sin consentimiento.</w:t>
      </w:r>
    </w:p>
    <w:p w14:paraId="4AB936EF" w14:textId="44396C15" w:rsidR="00A222CB" w:rsidRPr="00303024" w:rsidRDefault="00A222CB" w:rsidP="00303024">
      <w:pPr>
        <w:numPr>
          <w:ilvl w:val="1"/>
          <w:numId w:val="21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t>Acuerdos Septentrionale</w:t>
      </w:r>
      <w:r w:rsidR="00A86F95" w:rsidRPr="00303024">
        <w:rPr>
          <w:rFonts w:ascii="Cambria" w:hAnsi="Cambria"/>
          <w:u w:val="single"/>
        </w:rPr>
        <w:t>s</w:t>
      </w:r>
      <w:r w:rsidRPr="00303024">
        <w:rPr>
          <w:rFonts w:ascii="Cambria" w:hAnsi="Cambria"/>
        </w:rPr>
        <w:t>: Intercambio de cuotas con Noruega, Islandia, Islas Feroe y Reino Unido.</w:t>
      </w:r>
    </w:p>
    <w:p w14:paraId="3E7D4F42" w14:textId="77777777" w:rsidR="00A222CB" w:rsidRPr="00303024" w:rsidRDefault="00A222CB" w:rsidP="00303024">
      <w:pPr>
        <w:numPr>
          <w:ilvl w:val="1"/>
          <w:numId w:val="21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t>Acuerdo con Reino Unido</w:t>
      </w:r>
      <w:r w:rsidRPr="00303024">
        <w:rPr>
          <w:rFonts w:ascii="Cambria" w:hAnsi="Cambria"/>
        </w:rPr>
        <w:t>: Acceso pleno a aguas recíprocas durante periodo transitorio hasta 2026.</w:t>
      </w:r>
    </w:p>
    <w:p w14:paraId="6856680C" w14:textId="49B639F5" w:rsidR="00A222CB" w:rsidRPr="00303024" w:rsidRDefault="00A222CB" w:rsidP="00303024">
      <w:pPr>
        <w:numPr>
          <w:ilvl w:val="1"/>
          <w:numId w:val="21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t>Acuerdos Multilaterales</w:t>
      </w:r>
      <w:r w:rsidRPr="00303024">
        <w:rPr>
          <w:rFonts w:ascii="Cambria" w:hAnsi="Cambria"/>
        </w:rPr>
        <w:t>: Participación en Organizaciones Regionales de Ordenación Pesquera</w:t>
      </w:r>
      <w:r w:rsidR="00A36752" w:rsidRPr="00303024">
        <w:rPr>
          <w:rFonts w:ascii="Cambria" w:hAnsi="Cambria"/>
        </w:rPr>
        <w:t xml:space="preserve"> </w:t>
      </w:r>
      <w:r w:rsidRPr="00303024">
        <w:rPr>
          <w:rFonts w:ascii="Cambria" w:hAnsi="Cambria"/>
        </w:rPr>
        <w:t>y Convenios Internacionales (CNUDM, FAO).</w:t>
      </w:r>
    </w:p>
    <w:p w14:paraId="55E282BA" w14:textId="77777777" w:rsidR="00A222CB" w:rsidRPr="00303024" w:rsidRDefault="00A222CB" w:rsidP="0030302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03024">
        <w:rPr>
          <w:rFonts w:ascii="Cambria" w:hAnsi="Cambria"/>
          <w:b/>
          <w:bCs/>
          <w:color w:val="auto"/>
          <w:sz w:val="24"/>
          <w:szCs w:val="24"/>
        </w:rPr>
        <w:t>3.3. Mercados y Política Comercial</w:t>
      </w:r>
    </w:p>
    <w:p w14:paraId="6DBE08C3" w14:textId="4A186EDC" w:rsidR="00A222CB" w:rsidRPr="00303024" w:rsidRDefault="00A222CB" w:rsidP="00303024">
      <w:pPr>
        <w:numPr>
          <w:ilvl w:val="1"/>
          <w:numId w:val="21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t>Organización Común de Mercados</w:t>
      </w:r>
      <w:r w:rsidRPr="00303024">
        <w:rPr>
          <w:rFonts w:ascii="Cambria" w:hAnsi="Cambria"/>
        </w:rPr>
        <w:t>: Estabilización de mercados y garantía de renta justa (Reglamento 1379/2013).</w:t>
      </w:r>
    </w:p>
    <w:p w14:paraId="2E630FF6" w14:textId="77777777" w:rsidR="00A222CB" w:rsidRPr="00303024" w:rsidRDefault="00A222CB" w:rsidP="00303024">
      <w:pPr>
        <w:numPr>
          <w:ilvl w:val="1"/>
          <w:numId w:val="21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t>Organización del sector</w:t>
      </w:r>
      <w:r w:rsidRPr="00303024">
        <w:rPr>
          <w:rFonts w:ascii="Cambria" w:hAnsi="Cambria"/>
        </w:rPr>
        <w:t>: Papel clave de las Organizaciones de Productores (planes de producción/comercialización) y Organizaciones Interprofesionales.</w:t>
      </w:r>
    </w:p>
    <w:p w14:paraId="2968123B" w14:textId="77777777" w:rsidR="00A222CB" w:rsidRPr="00303024" w:rsidRDefault="00A222CB" w:rsidP="00303024">
      <w:pPr>
        <w:numPr>
          <w:ilvl w:val="1"/>
          <w:numId w:val="21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lastRenderedPageBreak/>
        <w:t>Normas de comercialización</w:t>
      </w:r>
      <w:r w:rsidRPr="00303024">
        <w:rPr>
          <w:rFonts w:ascii="Cambria" w:hAnsi="Cambria"/>
        </w:rPr>
        <w:t>: Categorías de frescura, talla y requisitos de información al consumidor (etiquetado obligatorio sobre especie, procedencia, zona y arte de pesca).</w:t>
      </w:r>
    </w:p>
    <w:p w14:paraId="18902E50" w14:textId="77777777" w:rsidR="00A222CB" w:rsidRPr="00303024" w:rsidRDefault="00A222CB" w:rsidP="00303024">
      <w:pPr>
        <w:numPr>
          <w:ilvl w:val="1"/>
          <w:numId w:val="21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t>Observatorio EUMOFA</w:t>
      </w:r>
      <w:r w:rsidRPr="00303024">
        <w:rPr>
          <w:rFonts w:ascii="Cambria" w:hAnsi="Cambria"/>
        </w:rPr>
        <w:t>: Análisis de la dinámica del mercado y transparencia de datos.</w:t>
      </w:r>
    </w:p>
    <w:p w14:paraId="6E4D7479" w14:textId="77777777" w:rsidR="00A222CB" w:rsidRPr="00303024" w:rsidRDefault="00A222CB" w:rsidP="0030302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03024">
        <w:rPr>
          <w:rFonts w:ascii="Cambria" w:hAnsi="Cambria"/>
          <w:b/>
          <w:bCs/>
          <w:color w:val="auto"/>
          <w:sz w:val="24"/>
          <w:szCs w:val="24"/>
        </w:rPr>
        <w:t>3.4. Financiación (FEMPA)</w:t>
      </w:r>
    </w:p>
    <w:p w14:paraId="2C7A35C0" w14:textId="77777777" w:rsidR="00A222CB" w:rsidRPr="00303024" w:rsidRDefault="00A222CB" w:rsidP="00303024">
      <w:pPr>
        <w:numPr>
          <w:ilvl w:val="1"/>
          <w:numId w:val="21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Fondo Europeo Marítimo, de Pesca y Acuicultura (2021-2027) con presupuesto de 6.108 M€.</w:t>
      </w:r>
    </w:p>
    <w:p w14:paraId="676CE0E3" w14:textId="77777777" w:rsidR="00A222CB" w:rsidRPr="00303024" w:rsidRDefault="00A222CB" w:rsidP="00303024">
      <w:pPr>
        <w:numPr>
          <w:ilvl w:val="1"/>
          <w:numId w:val="21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Apoyo al Pacto Verde, pesca sostenible, economía azul y gobernanza internacional de océanos.</w:t>
      </w:r>
    </w:p>
    <w:p w14:paraId="56FC5202" w14:textId="77777777" w:rsidR="00A222CB" w:rsidRPr="00303024" w:rsidRDefault="00A222CB" w:rsidP="00303024">
      <w:pPr>
        <w:numPr>
          <w:ilvl w:val="1"/>
          <w:numId w:val="21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Gestión: Principalmente compartida con Estados miembros (programas nacionales) y una parte directa por la Comisión.</w:t>
      </w:r>
    </w:p>
    <w:p w14:paraId="28E305FF" w14:textId="77777777" w:rsidR="00A222CB" w:rsidRPr="00303024" w:rsidRDefault="00A222CB" w:rsidP="00303024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03024">
        <w:rPr>
          <w:rFonts w:ascii="Cambria" w:hAnsi="Cambria"/>
          <w:b/>
          <w:bCs/>
          <w:color w:val="auto"/>
          <w:sz w:val="28"/>
          <w:szCs w:val="28"/>
        </w:rPr>
        <w:t>4. CONTROL DE LA PESCA</w:t>
      </w:r>
    </w:p>
    <w:p w14:paraId="2869D75D" w14:textId="77777777" w:rsidR="00A222CB" w:rsidRPr="00303024" w:rsidRDefault="00A222CB" w:rsidP="0030302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03024">
        <w:rPr>
          <w:rFonts w:ascii="Cambria" w:hAnsi="Cambria"/>
          <w:b/>
          <w:bCs/>
          <w:color w:val="auto"/>
          <w:sz w:val="24"/>
          <w:szCs w:val="24"/>
        </w:rPr>
        <w:t>4.1. Régimen General y Agencia de Control</w:t>
      </w:r>
    </w:p>
    <w:p w14:paraId="7F77C873" w14:textId="77777777" w:rsidR="00A222CB" w:rsidRPr="00303024" w:rsidRDefault="00A222CB" w:rsidP="00303024">
      <w:pPr>
        <w:numPr>
          <w:ilvl w:val="1"/>
          <w:numId w:val="22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Reglamento 1224/2009 (modernizado en 2023) para garantizar el cumplimiento de la PPC.</w:t>
      </w:r>
    </w:p>
    <w:p w14:paraId="3151D06D" w14:textId="77777777" w:rsidR="00A222CB" w:rsidRPr="00303024" w:rsidRDefault="00A222CB" w:rsidP="00303024">
      <w:pPr>
        <w:numPr>
          <w:ilvl w:val="1"/>
          <w:numId w:val="22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Agencia Europea de Control de la Pesca (AECP): Coordina medios nacionales y planes de despliegue conjuntos. Colabora con la Guardia de Fronteras y Seguridad Marítima.</w:t>
      </w:r>
    </w:p>
    <w:p w14:paraId="2AB5A7C3" w14:textId="77777777" w:rsidR="00A222CB" w:rsidRPr="00303024" w:rsidRDefault="00A222CB" w:rsidP="0030302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03024">
        <w:rPr>
          <w:rFonts w:ascii="Cambria" w:hAnsi="Cambria"/>
          <w:b/>
          <w:bCs/>
          <w:color w:val="auto"/>
          <w:sz w:val="24"/>
          <w:szCs w:val="24"/>
        </w:rPr>
        <w:t>4.2. Instrumentos de Control y Sanciones</w:t>
      </w:r>
    </w:p>
    <w:p w14:paraId="15F1A63B" w14:textId="77777777" w:rsidR="00A222CB" w:rsidRPr="00303024" w:rsidRDefault="00A222CB" w:rsidP="00303024">
      <w:pPr>
        <w:numPr>
          <w:ilvl w:val="1"/>
          <w:numId w:val="22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t>Control de capturas</w:t>
      </w:r>
      <w:r w:rsidRPr="00303024">
        <w:rPr>
          <w:rFonts w:ascii="Cambria" w:hAnsi="Cambria"/>
        </w:rPr>
        <w:t>: Mediante TAC, cuotas nacionales y claves de estabilidad relativa.</w:t>
      </w:r>
    </w:p>
    <w:p w14:paraId="7282D65C" w14:textId="77777777" w:rsidR="00A222CB" w:rsidRPr="00303024" w:rsidRDefault="00A222CB" w:rsidP="00303024">
      <w:pPr>
        <w:numPr>
          <w:ilvl w:val="1"/>
          <w:numId w:val="22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t>Limitación del esfuerzo</w:t>
      </w:r>
      <w:r w:rsidRPr="00303024">
        <w:rPr>
          <w:rFonts w:ascii="Cambria" w:hAnsi="Cambria"/>
        </w:rPr>
        <w:t>: Restricción de días de pesca en función de artes y zonas.</w:t>
      </w:r>
    </w:p>
    <w:p w14:paraId="206678B7" w14:textId="77777777" w:rsidR="00A222CB" w:rsidRPr="00303024" w:rsidRDefault="00A222CB" w:rsidP="00303024">
      <w:pPr>
        <w:numPr>
          <w:ilvl w:val="1"/>
          <w:numId w:val="22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t>Sanciones:</w:t>
      </w:r>
      <w:r w:rsidRPr="00303024">
        <w:rPr>
          <w:rFonts w:ascii="Cambria" w:hAnsi="Cambria"/>
        </w:rPr>
        <w:t xml:space="preserve"> Lista de infracciones graves y sistema de puntos para licencias de buques y capitanes (suspensión de licencia por acumulación de puntos).</w:t>
      </w:r>
    </w:p>
    <w:p w14:paraId="1631D089" w14:textId="12271B6B" w:rsidR="00A222CB" w:rsidRPr="00303024" w:rsidRDefault="00A222CB" w:rsidP="00303024">
      <w:pPr>
        <w:numPr>
          <w:ilvl w:val="1"/>
          <w:numId w:val="22"/>
        </w:numPr>
        <w:jc w:val="both"/>
        <w:rPr>
          <w:rFonts w:ascii="Cambria" w:hAnsi="Cambria"/>
        </w:rPr>
      </w:pPr>
      <w:r w:rsidRPr="00303024">
        <w:rPr>
          <w:rFonts w:ascii="Cambria" w:hAnsi="Cambria"/>
          <w:u w:val="single"/>
        </w:rPr>
        <w:t>Lucha contra la pesca INDNR</w:t>
      </w:r>
      <w:r w:rsidR="00A86F95" w:rsidRPr="00303024">
        <w:rPr>
          <w:rFonts w:ascii="Cambria" w:hAnsi="Cambria"/>
        </w:rPr>
        <w:t>:</w:t>
      </w:r>
      <w:r w:rsidRPr="00303024">
        <w:rPr>
          <w:rFonts w:ascii="Cambria" w:hAnsi="Cambria"/>
        </w:rPr>
        <w:t xml:space="preserve"> Reglamento 1005/2008 para prevenir la importación de estos productos mediante certificación.</w:t>
      </w:r>
    </w:p>
    <w:p w14:paraId="1019D943" w14:textId="77777777" w:rsidR="00A222CB" w:rsidRPr="00303024" w:rsidRDefault="00A222CB" w:rsidP="00303024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03024">
        <w:rPr>
          <w:rFonts w:ascii="Cambria" w:hAnsi="Cambria"/>
          <w:b/>
          <w:bCs/>
          <w:color w:val="auto"/>
          <w:sz w:val="28"/>
          <w:szCs w:val="28"/>
        </w:rPr>
        <w:t>5. LA ACUICULTURA EN LA UE</w:t>
      </w:r>
    </w:p>
    <w:p w14:paraId="4AB08960" w14:textId="77777777" w:rsidR="00A222CB" w:rsidRPr="00303024" w:rsidRDefault="00A222CB" w:rsidP="0030302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03024">
        <w:rPr>
          <w:rFonts w:ascii="Cambria" w:hAnsi="Cambria"/>
          <w:b/>
          <w:bCs/>
          <w:color w:val="auto"/>
          <w:sz w:val="24"/>
          <w:szCs w:val="24"/>
        </w:rPr>
        <w:t>5.1. Situación del Sector</w:t>
      </w:r>
    </w:p>
    <w:p w14:paraId="7192FDE4" w14:textId="77777777" w:rsidR="00A222CB" w:rsidRPr="00303024" w:rsidRDefault="00A222CB" w:rsidP="00303024">
      <w:pPr>
        <w:numPr>
          <w:ilvl w:val="1"/>
          <w:numId w:val="23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Producción estancada históricamente frente al crecimiento mundial, con repunte reciente en valor.</w:t>
      </w:r>
    </w:p>
    <w:p w14:paraId="2F2301C0" w14:textId="77777777" w:rsidR="00A222CB" w:rsidRPr="00303024" w:rsidRDefault="00A222CB" w:rsidP="00303024">
      <w:pPr>
        <w:numPr>
          <w:ilvl w:val="1"/>
          <w:numId w:val="23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lastRenderedPageBreak/>
        <w:t>Principales especies: Mejillón, trucha, ostra, dorada, lubina.</w:t>
      </w:r>
    </w:p>
    <w:p w14:paraId="6D06E835" w14:textId="77777777" w:rsidR="00A222CB" w:rsidRPr="00303024" w:rsidRDefault="00A222CB" w:rsidP="00303024">
      <w:pPr>
        <w:numPr>
          <w:ilvl w:val="1"/>
          <w:numId w:val="23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Principales productores: España, Francia, Grecia e Italia.</w:t>
      </w:r>
    </w:p>
    <w:p w14:paraId="3D0721B4" w14:textId="77777777" w:rsidR="00A222CB" w:rsidRPr="00303024" w:rsidRDefault="00A222CB" w:rsidP="0030302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03024">
        <w:rPr>
          <w:rFonts w:ascii="Cambria" w:hAnsi="Cambria"/>
          <w:b/>
          <w:bCs/>
          <w:color w:val="auto"/>
          <w:sz w:val="24"/>
          <w:szCs w:val="24"/>
        </w:rPr>
        <w:t>5.2. Estrategias de Desarrollo</w:t>
      </w:r>
    </w:p>
    <w:p w14:paraId="55A4D852" w14:textId="77777777" w:rsidR="00A222CB" w:rsidRPr="00303024" w:rsidRDefault="00A222CB" w:rsidP="00303024">
      <w:pPr>
        <w:numPr>
          <w:ilvl w:val="1"/>
          <w:numId w:val="23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Estrategia 2002: No logró objetivos de empleo y producción.</w:t>
      </w:r>
    </w:p>
    <w:p w14:paraId="300BAB24" w14:textId="77777777" w:rsidR="00A222CB" w:rsidRPr="00303024" w:rsidRDefault="00A222CB" w:rsidP="00303024">
      <w:pPr>
        <w:numPr>
          <w:ilvl w:val="1"/>
          <w:numId w:val="23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Comunicación 2009: Nuevo impulso para competitividad, sostenibilidad y gobernanza (reducción de carga administrativa).</w:t>
      </w:r>
    </w:p>
    <w:p w14:paraId="4AB14664" w14:textId="77777777" w:rsidR="00A222CB" w:rsidRPr="00303024" w:rsidRDefault="00A222CB" w:rsidP="00303024">
      <w:pPr>
        <w:numPr>
          <w:ilvl w:val="1"/>
          <w:numId w:val="23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Planes Estratégicos Plurianuales Nacionales: Obligatorios para los Estados miembros para coordinar medidas de desarrollo.</w:t>
      </w:r>
    </w:p>
    <w:p w14:paraId="0DE63AA8" w14:textId="77777777" w:rsidR="00A222CB" w:rsidRPr="00303024" w:rsidRDefault="00A222CB" w:rsidP="00303024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03024">
        <w:rPr>
          <w:rFonts w:ascii="Cambria" w:hAnsi="Cambria"/>
          <w:b/>
          <w:bCs/>
          <w:color w:val="auto"/>
          <w:sz w:val="28"/>
          <w:szCs w:val="28"/>
        </w:rPr>
        <w:t>6. CONCLUSIÓN</w:t>
      </w:r>
    </w:p>
    <w:p w14:paraId="5464E7B7" w14:textId="77777777" w:rsidR="00A222CB" w:rsidRPr="00303024" w:rsidRDefault="00A222CB" w:rsidP="0030302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03024">
        <w:rPr>
          <w:rFonts w:ascii="Cambria" w:hAnsi="Cambria"/>
          <w:b/>
          <w:bCs/>
          <w:color w:val="auto"/>
          <w:sz w:val="24"/>
          <w:szCs w:val="24"/>
        </w:rPr>
        <w:t>6.1. Perspectivas Finales</w:t>
      </w:r>
    </w:p>
    <w:p w14:paraId="3E1A4986" w14:textId="77777777" w:rsidR="00A222CB" w:rsidRPr="00303024" w:rsidRDefault="00A222CB" w:rsidP="00303024">
      <w:pPr>
        <w:numPr>
          <w:ilvl w:val="1"/>
          <w:numId w:val="24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La PPC busca el equilibrio entre sostenibilidad medioambiental y beneficios económicos/sociales a largo plazo.</w:t>
      </w:r>
    </w:p>
    <w:p w14:paraId="11835EB1" w14:textId="77777777" w:rsidR="00A222CB" w:rsidRPr="00303024" w:rsidRDefault="00A222CB" w:rsidP="00303024">
      <w:pPr>
        <w:numPr>
          <w:ilvl w:val="1"/>
          <w:numId w:val="24"/>
        </w:numPr>
        <w:jc w:val="both"/>
        <w:rPr>
          <w:rFonts w:ascii="Cambria" w:hAnsi="Cambria"/>
        </w:rPr>
      </w:pPr>
      <w:r w:rsidRPr="00303024">
        <w:rPr>
          <w:rFonts w:ascii="Cambria" w:hAnsi="Cambria"/>
        </w:rPr>
        <w:t>Debate en la OMC sobre la retirada de subvenciones a la pesca (combustible, modernización), con oposición de la UE y España.</w:t>
      </w:r>
    </w:p>
    <w:p w14:paraId="7B26C27A" w14:textId="77777777" w:rsidR="00A65383" w:rsidRPr="00303024" w:rsidRDefault="00A65383" w:rsidP="00303024">
      <w:pPr>
        <w:jc w:val="both"/>
        <w:rPr>
          <w:rFonts w:ascii="Cambria" w:hAnsi="Cambria"/>
        </w:rPr>
      </w:pPr>
    </w:p>
    <w:sectPr w:rsidR="00A65383" w:rsidRPr="0030302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9A7D5" w14:textId="77777777" w:rsidR="00D85E84" w:rsidRDefault="00D85E84" w:rsidP="00D85E84">
      <w:pPr>
        <w:spacing w:after="0" w:line="240" w:lineRule="auto"/>
      </w:pPr>
      <w:r>
        <w:separator/>
      </w:r>
    </w:p>
  </w:endnote>
  <w:endnote w:type="continuationSeparator" w:id="0">
    <w:p w14:paraId="7CC19716" w14:textId="77777777" w:rsidR="00D85E84" w:rsidRDefault="00D85E84" w:rsidP="00D85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9B8BE" w14:textId="77777777" w:rsidR="00D85E84" w:rsidRDefault="00D85E84" w:rsidP="00D85E84">
      <w:pPr>
        <w:spacing w:after="0" w:line="240" w:lineRule="auto"/>
      </w:pPr>
      <w:r>
        <w:separator/>
      </w:r>
    </w:p>
  </w:footnote>
  <w:footnote w:type="continuationSeparator" w:id="0">
    <w:p w14:paraId="74E5E6A0" w14:textId="77777777" w:rsidR="00D85E84" w:rsidRDefault="00D85E84" w:rsidP="00D85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819DF" w14:textId="6BB7D44C" w:rsidR="00D85E84" w:rsidRPr="00D85E84" w:rsidRDefault="00D85E84" w:rsidP="00D85E84">
    <w:pPr>
      <w:pStyle w:val="Encabezado"/>
      <w:jc w:val="both"/>
      <w:rPr>
        <w:rFonts w:ascii="Palatino Linotype" w:hAnsi="Palatino Linotype"/>
        <w:i/>
        <w:iCs/>
      </w:rPr>
    </w:pPr>
    <w:r w:rsidRPr="00D85E84">
      <w:rPr>
        <w:rFonts w:ascii="Palatino Linotype" w:hAnsi="Palatino Linotype"/>
        <w:b/>
        <w:bCs/>
        <w:i/>
        <w:iCs/>
      </w:rPr>
      <w:t>TEMA 46 -</w:t>
    </w:r>
    <w:r w:rsidRPr="00D85E84">
      <w:rPr>
        <w:rFonts w:ascii="Palatino Linotype" w:hAnsi="Palatino Linotype"/>
        <w:i/>
        <w:iCs/>
      </w:rPr>
      <w:t xml:space="preserve"> La política pesquera de la Unión Europea.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EF0"/>
    <w:multiLevelType w:val="multilevel"/>
    <w:tmpl w:val="4546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10EE2"/>
    <w:multiLevelType w:val="multilevel"/>
    <w:tmpl w:val="52D0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55ED1"/>
    <w:multiLevelType w:val="multilevel"/>
    <w:tmpl w:val="67A4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5546C"/>
    <w:multiLevelType w:val="multilevel"/>
    <w:tmpl w:val="F022F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561D4"/>
    <w:multiLevelType w:val="multilevel"/>
    <w:tmpl w:val="8CE6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92D4D"/>
    <w:multiLevelType w:val="hybridMultilevel"/>
    <w:tmpl w:val="17708796"/>
    <w:lvl w:ilvl="0" w:tplc="2E200E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0583E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624A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A628F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F50796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7489C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FAC12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AC2D1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C2AAE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B0C9D"/>
    <w:multiLevelType w:val="multilevel"/>
    <w:tmpl w:val="0774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86230"/>
    <w:multiLevelType w:val="multilevel"/>
    <w:tmpl w:val="364A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76000"/>
    <w:multiLevelType w:val="multilevel"/>
    <w:tmpl w:val="69B4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75EB8"/>
    <w:multiLevelType w:val="multilevel"/>
    <w:tmpl w:val="2444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A5C3D"/>
    <w:multiLevelType w:val="multilevel"/>
    <w:tmpl w:val="BD48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C4B87"/>
    <w:multiLevelType w:val="multilevel"/>
    <w:tmpl w:val="9E30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51FBC"/>
    <w:multiLevelType w:val="multilevel"/>
    <w:tmpl w:val="62A2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A3BE1"/>
    <w:multiLevelType w:val="multilevel"/>
    <w:tmpl w:val="EC46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5080A"/>
    <w:multiLevelType w:val="multilevel"/>
    <w:tmpl w:val="3218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D1CF2"/>
    <w:multiLevelType w:val="multilevel"/>
    <w:tmpl w:val="2B94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1127A"/>
    <w:multiLevelType w:val="multilevel"/>
    <w:tmpl w:val="21F2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C14FB"/>
    <w:multiLevelType w:val="multilevel"/>
    <w:tmpl w:val="4F5C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11BB4"/>
    <w:multiLevelType w:val="multilevel"/>
    <w:tmpl w:val="FF66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E4484"/>
    <w:multiLevelType w:val="multilevel"/>
    <w:tmpl w:val="92C0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941C6"/>
    <w:multiLevelType w:val="multilevel"/>
    <w:tmpl w:val="1AC6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0246D"/>
    <w:multiLevelType w:val="multilevel"/>
    <w:tmpl w:val="49C6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36F75"/>
    <w:multiLevelType w:val="multilevel"/>
    <w:tmpl w:val="3574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50D58"/>
    <w:multiLevelType w:val="multilevel"/>
    <w:tmpl w:val="3964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665031">
    <w:abstractNumId w:val="19"/>
  </w:num>
  <w:num w:numId="2" w16cid:durableId="2092005559">
    <w:abstractNumId w:val="1"/>
  </w:num>
  <w:num w:numId="3" w16cid:durableId="517080241">
    <w:abstractNumId w:val="13"/>
  </w:num>
  <w:num w:numId="4" w16cid:durableId="174152429">
    <w:abstractNumId w:val="5"/>
  </w:num>
  <w:num w:numId="5" w16cid:durableId="713502077">
    <w:abstractNumId w:val="22"/>
  </w:num>
  <w:num w:numId="6" w16cid:durableId="294607124">
    <w:abstractNumId w:val="16"/>
  </w:num>
  <w:num w:numId="7" w16cid:durableId="1578243973">
    <w:abstractNumId w:val="6"/>
  </w:num>
  <w:num w:numId="8" w16cid:durableId="94907550">
    <w:abstractNumId w:val="23"/>
  </w:num>
  <w:num w:numId="9" w16cid:durableId="1072119936">
    <w:abstractNumId w:val="21"/>
  </w:num>
  <w:num w:numId="10" w16cid:durableId="492112204">
    <w:abstractNumId w:val="10"/>
  </w:num>
  <w:num w:numId="11" w16cid:durableId="2111392537">
    <w:abstractNumId w:val="14"/>
  </w:num>
  <w:num w:numId="12" w16cid:durableId="992639523">
    <w:abstractNumId w:val="12"/>
  </w:num>
  <w:num w:numId="13" w16cid:durableId="1043598318">
    <w:abstractNumId w:val="15"/>
  </w:num>
  <w:num w:numId="14" w16cid:durableId="711616956">
    <w:abstractNumId w:val="18"/>
  </w:num>
  <w:num w:numId="15" w16cid:durableId="501311892">
    <w:abstractNumId w:val="3"/>
  </w:num>
  <w:num w:numId="16" w16cid:durableId="1339043696">
    <w:abstractNumId w:val="2"/>
  </w:num>
  <w:num w:numId="17" w16cid:durableId="127668697">
    <w:abstractNumId w:val="4"/>
  </w:num>
  <w:num w:numId="18" w16cid:durableId="1292326513">
    <w:abstractNumId w:val="17"/>
  </w:num>
  <w:num w:numId="19" w16cid:durableId="2065253864">
    <w:abstractNumId w:val="7"/>
  </w:num>
  <w:num w:numId="20" w16cid:durableId="1407728372">
    <w:abstractNumId w:val="0"/>
  </w:num>
  <w:num w:numId="21" w16cid:durableId="76750777">
    <w:abstractNumId w:val="20"/>
  </w:num>
  <w:num w:numId="22" w16cid:durableId="1259481725">
    <w:abstractNumId w:val="11"/>
  </w:num>
  <w:num w:numId="23" w16cid:durableId="23336992">
    <w:abstractNumId w:val="9"/>
  </w:num>
  <w:num w:numId="24" w16cid:durableId="510145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84"/>
    <w:rsid w:val="00106D8F"/>
    <w:rsid w:val="00293D82"/>
    <w:rsid w:val="00303024"/>
    <w:rsid w:val="003E04DA"/>
    <w:rsid w:val="005803BC"/>
    <w:rsid w:val="008A35C9"/>
    <w:rsid w:val="00910F78"/>
    <w:rsid w:val="00A222CB"/>
    <w:rsid w:val="00A36752"/>
    <w:rsid w:val="00A65383"/>
    <w:rsid w:val="00A8675C"/>
    <w:rsid w:val="00A86F95"/>
    <w:rsid w:val="00BA517C"/>
    <w:rsid w:val="00C12CFD"/>
    <w:rsid w:val="00CB04AF"/>
    <w:rsid w:val="00D70D28"/>
    <w:rsid w:val="00D8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7F998"/>
  <w15:chartTrackingRefBased/>
  <w15:docId w15:val="{70759FCA-8DB3-4558-A71A-7559A4B34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5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85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85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85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E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E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E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E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E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E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E8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85E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E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E8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85E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5E84"/>
  </w:style>
  <w:style w:type="paragraph" w:styleId="Piedepgina">
    <w:name w:val="footer"/>
    <w:basedOn w:val="Normal"/>
    <w:link w:val="PiedepginaCar"/>
    <w:uiPriority w:val="99"/>
    <w:unhideWhenUsed/>
    <w:rsid w:val="00D85E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845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9</cp:revision>
  <dcterms:created xsi:type="dcterms:W3CDTF">2025-12-09T17:25:00Z</dcterms:created>
  <dcterms:modified xsi:type="dcterms:W3CDTF">2026-01-14T14:32:00Z</dcterms:modified>
</cp:coreProperties>
</file>