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3CBDC" w14:textId="77777777" w:rsidR="008F2906" w:rsidRPr="00C25931" w:rsidRDefault="008F2906" w:rsidP="00C25931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C25931">
        <w:rPr>
          <w:rFonts w:ascii="Cambria" w:hAnsi="Cambria"/>
          <w:b/>
          <w:bCs/>
          <w:color w:val="auto"/>
          <w:sz w:val="28"/>
          <w:szCs w:val="28"/>
        </w:rPr>
        <w:t>1. INTRODUCCIÓN</w:t>
      </w:r>
    </w:p>
    <w:p w14:paraId="3AA07DCE" w14:textId="77777777" w:rsidR="008F2906" w:rsidRPr="00C25931" w:rsidRDefault="008F2906" w:rsidP="00C2593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25931">
        <w:rPr>
          <w:rFonts w:ascii="Cambria" w:hAnsi="Cambria"/>
          <w:b/>
          <w:bCs/>
          <w:color w:val="auto"/>
          <w:sz w:val="24"/>
          <w:szCs w:val="24"/>
        </w:rPr>
        <w:t>1.1. Marco Legal y Competencias</w:t>
      </w:r>
    </w:p>
    <w:p w14:paraId="3A071B3B" w14:textId="77777777" w:rsidR="008F2906" w:rsidRPr="00C25931" w:rsidRDefault="008F2906" w:rsidP="00C25931">
      <w:pPr>
        <w:numPr>
          <w:ilvl w:val="1"/>
          <w:numId w:val="43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La protección de los consumidores se basa en el Artículo 169 del TFUE, con objetivos de salud, seguridad, intereses económicos y jurídicos, y derecho a la información.</w:t>
      </w:r>
    </w:p>
    <w:p w14:paraId="3DAC86A4" w14:textId="54B17788" w:rsidR="008F2906" w:rsidRPr="00C25931" w:rsidRDefault="008F2906" w:rsidP="00C25931">
      <w:pPr>
        <w:numPr>
          <w:ilvl w:val="1"/>
          <w:numId w:val="43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 xml:space="preserve">Es una </w:t>
      </w:r>
      <w:r w:rsidRPr="00C25931">
        <w:rPr>
          <w:rFonts w:ascii="Cambria" w:hAnsi="Cambria"/>
          <w:u w:val="single"/>
        </w:rPr>
        <w:t>competencia compartida</w:t>
      </w:r>
      <w:r w:rsidRPr="00C25931">
        <w:rPr>
          <w:rFonts w:ascii="Cambria" w:hAnsi="Cambria"/>
        </w:rPr>
        <w:t xml:space="preserve"> (Artículo 114 TFUE)</w:t>
      </w:r>
      <w:r w:rsidR="000428CE" w:rsidRPr="00C25931">
        <w:rPr>
          <w:rFonts w:ascii="Cambria" w:hAnsi="Cambria"/>
        </w:rPr>
        <w:t>. L</w:t>
      </w:r>
      <w:r w:rsidRPr="00C25931">
        <w:rPr>
          <w:rFonts w:ascii="Cambria" w:hAnsi="Cambria"/>
        </w:rPr>
        <w:t xml:space="preserve">a UE adopta medidas de aproximación legal, aunque los </w:t>
      </w:r>
      <w:r w:rsidR="000428CE" w:rsidRPr="00C25931">
        <w:rPr>
          <w:rFonts w:ascii="Cambria" w:hAnsi="Cambria"/>
        </w:rPr>
        <w:t>EEMM</w:t>
      </w:r>
      <w:r w:rsidRPr="00C25931">
        <w:rPr>
          <w:rFonts w:ascii="Cambria" w:hAnsi="Cambria"/>
        </w:rPr>
        <w:t xml:space="preserve"> pueden mantener medidas más estrictas si son compatibles con el Tratado.</w:t>
      </w:r>
    </w:p>
    <w:p w14:paraId="1EB6241C" w14:textId="266A2B82" w:rsidR="008F2906" w:rsidRPr="00C25931" w:rsidRDefault="008F2906" w:rsidP="00C25931">
      <w:pPr>
        <w:numPr>
          <w:ilvl w:val="1"/>
          <w:numId w:val="43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Las políticas han evolucionado desde planes de actuación</w:t>
      </w:r>
      <w:r w:rsidR="000428CE" w:rsidRPr="00C25931">
        <w:rPr>
          <w:rFonts w:ascii="Cambria" w:hAnsi="Cambria"/>
        </w:rPr>
        <w:t xml:space="preserve"> </w:t>
      </w:r>
      <w:r w:rsidRPr="00C25931">
        <w:rPr>
          <w:rFonts w:ascii="Cambria" w:hAnsi="Cambria"/>
        </w:rPr>
        <w:t>hasta integrarse en las principales políticas de la UE tras completarse el Mercado Interior.</w:t>
      </w:r>
    </w:p>
    <w:p w14:paraId="4C941A8A" w14:textId="77777777" w:rsidR="008F2906" w:rsidRPr="00C25931" w:rsidRDefault="008F2906" w:rsidP="00C2593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25931">
        <w:rPr>
          <w:rFonts w:ascii="Cambria" w:hAnsi="Cambria"/>
          <w:b/>
          <w:bCs/>
          <w:color w:val="auto"/>
          <w:sz w:val="24"/>
          <w:szCs w:val="24"/>
        </w:rPr>
        <w:t>1.2. Estrategia y Programación</w:t>
      </w:r>
    </w:p>
    <w:p w14:paraId="68CB0E33" w14:textId="77777777" w:rsidR="008F2906" w:rsidRPr="00C25931" w:rsidRDefault="008F2906" w:rsidP="00C25931">
      <w:pPr>
        <w:numPr>
          <w:ilvl w:val="1"/>
          <w:numId w:val="43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Hasta 2020, se basó en la Agenda del Consumidor Europeo y el Programa plurianual 2014-2020.</w:t>
      </w:r>
    </w:p>
    <w:p w14:paraId="50ECB436" w14:textId="14F03D68" w:rsidR="008F2906" w:rsidRPr="00C25931" w:rsidRDefault="008F2906" w:rsidP="00C25931">
      <w:pPr>
        <w:numPr>
          <w:ilvl w:val="1"/>
          <w:numId w:val="43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 xml:space="preserve">La </w:t>
      </w:r>
      <w:r w:rsidRPr="00C25931">
        <w:rPr>
          <w:rFonts w:ascii="Cambria" w:hAnsi="Cambria"/>
          <w:u w:val="single"/>
        </w:rPr>
        <w:t>Nueva Agenda del Consumidor 2020-2025</w:t>
      </w:r>
      <w:r w:rsidRPr="00C25931">
        <w:rPr>
          <w:rFonts w:ascii="Cambria" w:hAnsi="Cambria"/>
        </w:rPr>
        <w:t xml:space="preserve"> establece el marco actual para afrontar transiciones ecológica y digital, proteger a vulnerables, gestionar el impacto de la COVID-19 y cooperar internacionalmente.</w:t>
      </w:r>
    </w:p>
    <w:p w14:paraId="23CA54DC" w14:textId="77777777" w:rsidR="008F2906" w:rsidRPr="00C25931" w:rsidRDefault="008F2906" w:rsidP="00C2593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25931">
        <w:rPr>
          <w:rFonts w:ascii="Cambria" w:hAnsi="Cambria"/>
          <w:b/>
          <w:bCs/>
          <w:color w:val="auto"/>
          <w:sz w:val="24"/>
          <w:szCs w:val="24"/>
        </w:rPr>
        <w:t>1.3. Contexto de la Biotecnología y Percepción Pública</w:t>
      </w:r>
    </w:p>
    <w:p w14:paraId="24263C36" w14:textId="77777777" w:rsidR="008F2906" w:rsidRPr="00C25931" w:rsidRDefault="008F2906" w:rsidP="00C25931">
      <w:pPr>
        <w:numPr>
          <w:ilvl w:val="1"/>
          <w:numId w:val="43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La introducción de OGM en los años 90 generó preocupación en Europa por la falta de beneficios directos visibles (precio o calidad) y dudas sobre la evaluación de riesgos a largo plazo (salud y medioambiente).</w:t>
      </w:r>
    </w:p>
    <w:p w14:paraId="69E0B79C" w14:textId="77777777" w:rsidR="008F2906" w:rsidRPr="00C25931" w:rsidRDefault="008F2906" w:rsidP="00C25931">
      <w:pPr>
        <w:numPr>
          <w:ilvl w:val="1"/>
          <w:numId w:val="43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Crisis alimentarias no relacionadas (vacas locas) mermaron la confianza, impulsando demandas de etiquetado y detección estricta.</w:t>
      </w:r>
    </w:p>
    <w:p w14:paraId="6CF0CD43" w14:textId="5F707CBF" w:rsidR="008F2906" w:rsidRPr="00C25931" w:rsidRDefault="008F2906" w:rsidP="00C25931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C25931">
        <w:rPr>
          <w:rFonts w:ascii="Cambria" w:hAnsi="Cambria"/>
          <w:b/>
          <w:bCs/>
          <w:color w:val="auto"/>
          <w:sz w:val="28"/>
          <w:szCs w:val="28"/>
        </w:rPr>
        <w:t>2. ORGANISMOS GENÉTICAMENTE MODIFICADOS</w:t>
      </w:r>
    </w:p>
    <w:p w14:paraId="6CFF6B43" w14:textId="77777777" w:rsidR="008F2906" w:rsidRPr="00C25931" w:rsidRDefault="008F2906" w:rsidP="00C2593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25931">
        <w:rPr>
          <w:rFonts w:ascii="Cambria" w:hAnsi="Cambria"/>
          <w:b/>
          <w:bCs/>
          <w:color w:val="auto"/>
          <w:sz w:val="24"/>
          <w:szCs w:val="24"/>
        </w:rPr>
        <w:t>2.1. Definición y Uso</w:t>
      </w:r>
    </w:p>
    <w:p w14:paraId="1DC2E726" w14:textId="77777777" w:rsidR="008F2906" w:rsidRPr="00C25931" w:rsidRDefault="008F2906" w:rsidP="00C25931">
      <w:pPr>
        <w:numPr>
          <w:ilvl w:val="1"/>
          <w:numId w:val="44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Son organismos con material genético alterado artificialmente. Se aplican en cultivos (maíz, soja, colza, algodón) para resistencia a plagas o herbicidas.</w:t>
      </w:r>
    </w:p>
    <w:p w14:paraId="592A4F61" w14:textId="77777777" w:rsidR="008F2906" w:rsidRPr="00C25931" w:rsidRDefault="008F2906" w:rsidP="00C25931">
      <w:pPr>
        <w:numPr>
          <w:ilvl w:val="1"/>
          <w:numId w:val="44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En la UE, el maíz MON 810 es el principal cultivo autorizado (especialmente en España), aunque varios países aplican cláusulas de salvaguardia para impedir su cultivo.</w:t>
      </w:r>
    </w:p>
    <w:p w14:paraId="47342D61" w14:textId="77777777" w:rsidR="008F2906" w:rsidRPr="00C25931" w:rsidRDefault="008F2906" w:rsidP="00C2593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25931">
        <w:rPr>
          <w:rFonts w:ascii="Cambria" w:hAnsi="Cambria"/>
          <w:b/>
          <w:bCs/>
          <w:color w:val="auto"/>
          <w:sz w:val="24"/>
          <w:szCs w:val="24"/>
        </w:rPr>
        <w:lastRenderedPageBreak/>
        <w:t>2.2. Situación Comercial y Dependencia</w:t>
      </w:r>
    </w:p>
    <w:p w14:paraId="37BDC6B8" w14:textId="77777777" w:rsidR="008F2906" w:rsidRPr="00C25931" w:rsidRDefault="008F2906" w:rsidP="00C25931">
      <w:pPr>
        <w:numPr>
          <w:ilvl w:val="1"/>
          <w:numId w:val="44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Existen más de 70 OGM autorizados para comercialización (importaciones) y medidas nacionales de coexistencia para evitar mezclas con cultivos convencionales/ecológicos.</w:t>
      </w:r>
    </w:p>
    <w:p w14:paraId="067D4A94" w14:textId="77777777" w:rsidR="008F2906" w:rsidRPr="00C25931" w:rsidRDefault="008F2906" w:rsidP="00C25931">
      <w:pPr>
        <w:numPr>
          <w:ilvl w:val="1"/>
          <w:numId w:val="44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La UE presenta una fuerte dependencia de importaciones de proteínas vegetales (soja) para alimentación animal, siendo la producción interna de OGM muy reducida.</w:t>
      </w:r>
    </w:p>
    <w:p w14:paraId="0FA2B90E" w14:textId="77777777" w:rsidR="008F2906" w:rsidRPr="00C25931" w:rsidRDefault="008F2906" w:rsidP="00C25931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C25931">
        <w:rPr>
          <w:rFonts w:ascii="Cambria" w:hAnsi="Cambria"/>
          <w:b/>
          <w:bCs/>
          <w:color w:val="auto"/>
          <w:sz w:val="28"/>
          <w:szCs w:val="28"/>
        </w:rPr>
        <w:t>3. LA UNIÓN EUROPEA Y LA SEGURIDAD ALIMENTARIA</w:t>
      </w:r>
    </w:p>
    <w:p w14:paraId="70A204C8" w14:textId="77777777" w:rsidR="008F2906" w:rsidRPr="00C25931" w:rsidRDefault="008F2906" w:rsidP="00C2593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25931">
        <w:rPr>
          <w:rFonts w:ascii="Cambria" w:hAnsi="Cambria"/>
          <w:b/>
          <w:bCs/>
          <w:color w:val="auto"/>
          <w:sz w:val="24"/>
          <w:szCs w:val="24"/>
        </w:rPr>
        <w:t>3.1. Evolución Normativa y Principios</w:t>
      </w:r>
    </w:p>
    <w:p w14:paraId="129E5D6D" w14:textId="77777777" w:rsidR="008F2906" w:rsidRPr="00C25931" w:rsidRDefault="008F2906" w:rsidP="00C25931">
      <w:pPr>
        <w:numPr>
          <w:ilvl w:val="1"/>
          <w:numId w:val="45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Tras las crisis de los 90, la seguridad alimentaria se convirtió en prioridad absoluta ("De la granja a la mesa"), plasmada en el Libro Blanco de 2000.</w:t>
      </w:r>
    </w:p>
    <w:p w14:paraId="6072E04F" w14:textId="77777777" w:rsidR="008F2906" w:rsidRPr="00C25931" w:rsidRDefault="008F2906" w:rsidP="00C25931">
      <w:pPr>
        <w:numPr>
          <w:ilvl w:val="1"/>
          <w:numId w:val="45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El Reglamento (CE) 178/2002 fundó la legislación alimentaria, creando la EFSA (Autoridad Europea de Seguridad Alimentaria) y separando el análisis de riesgos (científico/independiente) de la gestión de riesgos (política/Comisión).</w:t>
      </w:r>
    </w:p>
    <w:p w14:paraId="32141C01" w14:textId="77777777" w:rsidR="008F2906" w:rsidRPr="00C25931" w:rsidRDefault="008F2906" w:rsidP="00C25931">
      <w:pPr>
        <w:numPr>
          <w:ilvl w:val="1"/>
          <w:numId w:val="45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La EFSA emite dictámenes científicos, coordina alertas y apoya a las instituciones; la responsabilidad legal recae en los operadores de la cadena alimentaria.</w:t>
      </w:r>
    </w:p>
    <w:p w14:paraId="48831C05" w14:textId="77777777" w:rsidR="008F2906" w:rsidRPr="00C25931" w:rsidRDefault="008F2906" w:rsidP="00C2593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25931">
        <w:rPr>
          <w:rFonts w:ascii="Cambria" w:hAnsi="Cambria"/>
          <w:b/>
          <w:bCs/>
          <w:color w:val="auto"/>
          <w:sz w:val="24"/>
          <w:szCs w:val="24"/>
        </w:rPr>
        <w:t>3.2. Sistemas de Control y Alerta</w:t>
      </w:r>
    </w:p>
    <w:p w14:paraId="68D6B47F" w14:textId="77777777" w:rsidR="008F2906" w:rsidRPr="00C25931" w:rsidRDefault="008F2906" w:rsidP="00C25931">
      <w:pPr>
        <w:numPr>
          <w:ilvl w:val="1"/>
          <w:numId w:val="45"/>
        </w:numPr>
        <w:jc w:val="both"/>
        <w:rPr>
          <w:rFonts w:ascii="Cambria" w:hAnsi="Cambria"/>
        </w:rPr>
      </w:pPr>
      <w:r w:rsidRPr="00C25931">
        <w:rPr>
          <w:rFonts w:ascii="Cambria" w:hAnsi="Cambria"/>
          <w:u w:val="single"/>
        </w:rPr>
        <w:t>RASFF</w:t>
      </w:r>
      <w:r w:rsidRPr="00C25931">
        <w:rPr>
          <w:rFonts w:ascii="Cambria" w:hAnsi="Cambria"/>
        </w:rPr>
        <w:t xml:space="preserve"> (Sistema de Alerta Rápida para Alimentos y Piensos): Permite actuar ante riesgos directos o indirectos, bloqueando lotes o retirando productos del mercado.</w:t>
      </w:r>
    </w:p>
    <w:p w14:paraId="0FD74D52" w14:textId="77777777" w:rsidR="008F2906" w:rsidRPr="00C25931" w:rsidRDefault="008F2906" w:rsidP="00C25931">
      <w:pPr>
        <w:numPr>
          <w:ilvl w:val="1"/>
          <w:numId w:val="45"/>
        </w:numPr>
        <w:jc w:val="both"/>
        <w:rPr>
          <w:rFonts w:ascii="Cambria" w:hAnsi="Cambria"/>
        </w:rPr>
      </w:pPr>
      <w:r w:rsidRPr="00C25931">
        <w:rPr>
          <w:rFonts w:ascii="Cambria" w:hAnsi="Cambria"/>
          <w:u w:val="single"/>
        </w:rPr>
        <w:t>TRACES</w:t>
      </w:r>
      <w:r w:rsidRPr="00C25931">
        <w:rPr>
          <w:rFonts w:ascii="Cambria" w:hAnsi="Cambria"/>
        </w:rPr>
        <w:t>: Sistema informático veterinario para trazabilidad y certificación en controles fronterizos.</w:t>
      </w:r>
    </w:p>
    <w:p w14:paraId="51BE0CD1" w14:textId="77777777" w:rsidR="008F2906" w:rsidRPr="00C25931" w:rsidRDefault="008F2906" w:rsidP="00C25931">
      <w:pPr>
        <w:numPr>
          <w:ilvl w:val="1"/>
          <w:numId w:val="45"/>
        </w:numPr>
        <w:jc w:val="both"/>
        <w:rPr>
          <w:rFonts w:ascii="Cambria" w:hAnsi="Cambria"/>
        </w:rPr>
      </w:pPr>
      <w:r w:rsidRPr="00C25931">
        <w:rPr>
          <w:rFonts w:ascii="Cambria" w:hAnsi="Cambria"/>
          <w:u w:val="single"/>
        </w:rPr>
        <w:t>Auditorías</w:t>
      </w:r>
      <w:r w:rsidRPr="00C25931">
        <w:rPr>
          <w:rFonts w:ascii="Cambria" w:hAnsi="Cambria"/>
        </w:rPr>
        <w:t>: La Dirección General de Salud y Seguridad Alimentaria verifica el cumplimiento normativo en la UE y terceros países (animales, vegetales, sanitarios).</w:t>
      </w:r>
    </w:p>
    <w:p w14:paraId="02FE9974" w14:textId="77777777" w:rsidR="008F2906" w:rsidRPr="00C25931" w:rsidRDefault="008F2906" w:rsidP="00C2593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25931">
        <w:rPr>
          <w:rFonts w:ascii="Cambria" w:hAnsi="Cambria"/>
          <w:b/>
          <w:bCs/>
          <w:color w:val="auto"/>
          <w:sz w:val="24"/>
          <w:szCs w:val="24"/>
        </w:rPr>
        <w:t>3.3. Medidas Generales de Protección del Consumidor (Nueva Agenda)</w:t>
      </w:r>
    </w:p>
    <w:p w14:paraId="7C519D5A" w14:textId="77777777" w:rsidR="008F2906" w:rsidRPr="00C25931" w:rsidRDefault="008F2906" w:rsidP="00C25931">
      <w:pPr>
        <w:numPr>
          <w:ilvl w:val="1"/>
          <w:numId w:val="45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Transición ecológica (consumo sostenible) y Transformación digital (protección online igual que offline).</w:t>
      </w:r>
    </w:p>
    <w:p w14:paraId="620E77F6" w14:textId="77777777" w:rsidR="008F2906" w:rsidRPr="00C25931" w:rsidRDefault="008F2906" w:rsidP="00C25931">
      <w:pPr>
        <w:numPr>
          <w:ilvl w:val="1"/>
          <w:numId w:val="45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Cumplimiento y recursos (mecanismos eficaces, acciones colectivas) y atención a la vulnerabilidad (niños, mayores, discapacitados).</w:t>
      </w:r>
    </w:p>
    <w:p w14:paraId="601D0948" w14:textId="77777777" w:rsidR="008F2906" w:rsidRPr="00C25931" w:rsidRDefault="008F2906" w:rsidP="00C25931">
      <w:pPr>
        <w:numPr>
          <w:ilvl w:val="1"/>
          <w:numId w:val="45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Protección global ante el aumento de compras fuera de la UE.</w:t>
      </w:r>
    </w:p>
    <w:p w14:paraId="54FA0518" w14:textId="77777777" w:rsidR="008F2906" w:rsidRPr="00C25931" w:rsidRDefault="008F2906" w:rsidP="00C2593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25931">
        <w:rPr>
          <w:rFonts w:ascii="Cambria" w:hAnsi="Cambria"/>
          <w:b/>
          <w:bCs/>
          <w:color w:val="auto"/>
          <w:sz w:val="24"/>
          <w:szCs w:val="24"/>
        </w:rPr>
        <w:lastRenderedPageBreak/>
        <w:t>3.4. Medidas Sectoriales e Instrumentos</w:t>
      </w:r>
    </w:p>
    <w:p w14:paraId="16A23FD0" w14:textId="77777777" w:rsidR="008F2906" w:rsidRPr="00C25931" w:rsidRDefault="008F2906" w:rsidP="00C25931">
      <w:pPr>
        <w:numPr>
          <w:ilvl w:val="1"/>
          <w:numId w:val="45"/>
        </w:numPr>
        <w:jc w:val="both"/>
        <w:rPr>
          <w:rFonts w:ascii="Cambria" w:hAnsi="Cambria"/>
        </w:rPr>
      </w:pPr>
      <w:r w:rsidRPr="00C25931">
        <w:rPr>
          <w:rFonts w:ascii="Cambria" w:hAnsi="Cambria"/>
          <w:u w:val="single"/>
        </w:rPr>
        <w:t>Educación y Grupos</w:t>
      </w:r>
      <w:r w:rsidRPr="00C25931">
        <w:rPr>
          <w:rFonts w:ascii="Cambria" w:hAnsi="Cambria"/>
        </w:rPr>
        <w:t>: Fomento de grupos de consumidores (GCEC) y herramientas educativas ("</w:t>
      </w:r>
      <w:proofErr w:type="spellStart"/>
      <w:r w:rsidRPr="00C25931">
        <w:rPr>
          <w:rFonts w:ascii="Cambria" w:hAnsi="Cambria"/>
        </w:rPr>
        <w:t>Consumer</w:t>
      </w:r>
      <w:proofErr w:type="spellEnd"/>
      <w:r w:rsidRPr="00C25931">
        <w:rPr>
          <w:rFonts w:ascii="Cambria" w:hAnsi="Cambria"/>
        </w:rPr>
        <w:t xml:space="preserve"> </w:t>
      </w:r>
      <w:proofErr w:type="spellStart"/>
      <w:r w:rsidRPr="00C25931">
        <w:rPr>
          <w:rFonts w:ascii="Cambria" w:hAnsi="Cambria"/>
        </w:rPr>
        <w:t>Classroom</w:t>
      </w:r>
      <w:proofErr w:type="spellEnd"/>
      <w:r w:rsidRPr="00C25931">
        <w:rPr>
          <w:rFonts w:ascii="Cambria" w:hAnsi="Cambria"/>
        </w:rPr>
        <w:t>").</w:t>
      </w:r>
    </w:p>
    <w:p w14:paraId="6976DD16" w14:textId="77777777" w:rsidR="008F2906" w:rsidRPr="00C25931" w:rsidRDefault="008F2906" w:rsidP="00C25931">
      <w:pPr>
        <w:numPr>
          <w:ilvl w:val="1"/>
          <w:numId w:val="45"/>
        </w:numPr>
        <w:jc w:val="both"/>
        <w:rPr>
          <w:rFonts w:ascii="Cambria" w:hAnsi="Cambria"/>
        </w:rPr>
      </w:pPr>
      <w:r w:rsidRPr="00C25931">
        <w:rPr>
          <w:rFonts w:ascii="Cambria" w:hAnsi="Cambria"/>
          <w:u w:val="single"/>
        </w:rPr>
        <w:t>Información y Resolución</w:t>
      </w:r>
      <w:r w:rsidRPr="00C25931">
        <w:rPr>
          <w:rFonts w:ascii="Cambria" w:hAnsi="Cambria"/>
        </w:rPr>
        <w:t>: Red de Centros Europeos (Red CEC), FIN-NET (financiero), SOLVIT (mercado interior) y portal "</w:t>
      </w:r>
      <w:proofErr w:type="spellStart"/>
      <w:r w:rsidRPr="00C25931">
        <w:rPr>
          <w:rFonts w:ascii="Cambria" w:hAnsi="Cambria"/>
        </w:rPr>
        <w:t>Your</w:t>
      </w:r>
      <w:proofErr w:type="spellEnd"/>
      <w:r w:rsidRPr="00C25931">
        <w:rPr>
          <w:rFonts w:ascii="Cambria" w:hAnsi="Cambria"/>
        </w:rPr>
        <w:t xml:space="preserve"> Europe".</w:t>
      </w:r>
    </w:p>
    <w:p w14:paraId="100C7C9F" w14:textId="77777777" w:rsidR="008F2906" w:rsidRPr="00C25931" w:rsidRDefault="008F2906" w:rsidP="00C25931">
      <w:pPr>
        <w:numPr>
          <w:ilvl w:val="1"/>
          <w:numId w:val="45"/>
        </w:numPr>
        <w:jc w:val="both"/>
        <w:rPr>
          <w:rFonts w:ascii="Cambria" w:hAnsi="Cambria"/>
        </w:rPr>
      </w:pPr>
      <w:r w:rsidRPr="00C25931">
        <w:rPr>
          <w:rFonts w:ascii="Cambria" w:hAnsi="Cambria"/>
          <w:u w:val="single"/>
        </w:rPr>
        <w:t>Cooperación</w:t>
      </w:r>
      <w:r w:rsidRPr="00C25931">
        <w:rPr>
          <w:rFonts w:ascii="Cambria" w:hAnsi="Cambria"/>
        </w:rPr>
        <w:t>: Red de autoridades nacionales para barridos web y aplicación transfronteriza (Reglamento 2017/2394).</w:t>
      </w:r>
    </w:p>
    <w:p w14:paraId="4A159B41" w14:textId="77777777" w:rsidR="008F2906" w:rsidRPr="00C25931" w:rsidRDefault="008F2906" w:rsidP="00C2593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25931">
        <w:rPr>
          <w:rFonts w:ascii="Cambria" w:hAnsi="Cambria"/>
          <w:b/>
          <w:bCs/>
          <w:color w:val="auto"/>
          <w:sz w:val="24"/>
          <w:szCs w:val="24"/>
        </w:rPr>
        <w:t>3.5. Ámbitos Específicos de Protección</w:t>
      </w:r>
    </w:p>
    <w:p w14:paraId="39F1EEFF" w14:textId="77777777" w:rsidR="008F2906" w:rsidRPr="00C25931" w:rsidRDefault="008F2906" w:rsidP="00C25931">
      <w:pPr>
        <w:numPr>
          <w:ilvl w:val="1"/>
          <w:numId w:val="45"/>
        </w:numPr>
        <w:jc w:val="both"/>
        <w:rPr>
          <w:rFonts w:ascii="Cambria" w:hAnsi="Cambria"/>
        </w:rPr>
      </w:pPr>
      <w:r w:rsidRPr="00C25931">
        <w:rPr>
          <w:rFonts w:ascii="Cambria" w:hAnsi="Cambria"/>
          <w:u w:val="single"/>
        </w:rPr>
        <w:t>Salud y Seguridad</w:t>
      </w:r>
      <w:r w:rsidRPr="00C25931">
        <w:rPr>
          <w:rFonts w:ascii="Cambria" w:hAnsi="Cambria"/>
        </w:rPr>
        <w:t>: Seguridad general de productos (Sistema Safety Gate - antes RAPEX), cosméticos, juguetes y medicamentos.</w:t>
      </w:r>
    </w:p>
    <w:p w14:paraId="116A7313" w14:textId="77777777" w:rsidR="008F2906" w:rsidRPr="00C25931" w:rsidRDefault="008F2906" w:rsidP="00C25931">
      <w:pPr>
        <w:numPr>
          <w:ilvl w:val="1"/>
          <w:numId w:val="45"/>
        </w:numPr>
        <w:jc w:val="both"/>
        <w:rPr>
          <w:rFonts w:ascii="Cambria" w:hAnsi="Cambria"/>
        </w:rPr>
      </w:pPr>
      <w:r w:rsidRPr="00C25931">
        <w:rPr>
          <w:rFonts w:ascii="Cambria" w:hAnsi="Cambria"/>
          <w:u w:val="single"/>
        </w:rPr>
        <w:t>Intereses Económicos</w:t>
      </w:r>
      <w:r w:rsidRPr="00C25931">
        <w:rPr>
          <w:rFonts w:ascii="Cambria" w:hAnsi="Cambria"/>
        </w:rPr>
        <w:t>: Comercio electrónico, prácticas desleales, viajes combinados, sector energético (suministradores, contadores inteligentes) y servicios financieros.</w:t>
      </w:r>
    </w:p>
    <w:p w14:paraId="3BCD497D" w14:textId="77777777" w:rsidR="008F2906" w:rsidRPr="00C25931" w:rsidRDefault="008F2906" w:rsidP="00C25931">
      <w:pPr>
        <w:numPr>
          <w:ilvl w:val="1"/>
          <w:numId w:val="45"/>
        </w:numPr>
        <w:jc w:val="both"/>
        <w:rPr>
          <w:rFonts w:ascii="Cambria" w:hAnsi="Cambria"/>
        </w:rPr>
      </w:pPr>
      <w:r w:rsidRPr="00C25931">
        <w:rPr>
          <w:rFonts w:ascii="Cambria" w:hAnsi="Cambria"/>
          <w:u w:val="single"/>
        </w:rPr>
        <w:t>Intereses Jurídicos</w:t>
      </w:r>
      <w:r w:rsidRPr="00C25931">
        <w:rPr>
          <w:rFonts w:ascii="Cambria" w:hAnsi="Cambria"/>
        </w:rPr>
        <w:t>: Resolución Alternativa de Litigios (RAL) y Red Judicial Europea en materia civil y mercantil.</w:t>
      </w:r>
    </w:p>
    <w:p w14:paraId="4D8912FB" w14:textId="77777777" w:rsidR="008F2906" w:rsidRPr="00C25931" w:rsidRDefault="008F2906" w:rsidP="00C2593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25931">
        <w:rPr>
          <w:rFonts w:ascii="Cambria" w:hAnsi="Cambria"/>
          <w:b/>
          <w:bCs/>
          <w:color w:val="auto"/>
          <w:sz w:val="24"/>
          <w:szCs w:val="24"/>
        </w:rPr>
        <w:t>3.6. Programa del Mercado Único (2021-2027)</w:t>
      </w:r>
    </w:p>
    <w:p w14:paraId="1EAA0778" w14:textId="77777777" w:rsidR="008F2906" w:rsidRPr="00C25931" w:rsidRDefault="008F2906" w:rsidP="00C25931">
      <w:pPr>
        <w:numPr>
          <w:ilvl w:val="1"/>
          <w:numId w:val="45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Presupuesto de 4.200 M€ para fortalecer la gobernanza, competitividad de PYMES, seguridad alimentaria, protección del consumidor y estadísticas, integrando programas anteriores.</w:t>
      </w:r>
    </w:p>
    <w:p w14:paraId="7BED49BA" w14:textId="77777777" w:rsidR="008F2906" w:rsidRPr="00C25931" w:rsidRDefault="008F2906" w:rsidP="00C25931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C25931">
        <w:rPr>
          <w:rFonts w:ascii="Cambria" w:hAnsi="Cambria"/>
          <w:b/>
          <w:bCs/>
          <w:color w:val="auto"/>
          <w:sz w:val="28"/>
          <w:szCs w:val="28"/>
        </w:rPr>
        <w:t>4. LOS INICIOS DE LA LEGISLACIÓN SOBRE LOS OGM</w:t>
      </w:r>
    </w:p>
    <w:p w14:paraId="59325B2E" w14:textId="77777777" w:rsidR="008F2906" w:rsidRPr="00C25931" w:rsidRDefault="008F2906" w:rsidP="00C2593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25931">
        <w:rPr>
          <w:rFonts w:ascii="Cambria" w:hAnsi="Cambria"/>
          <w:b/>
          <w:bCs/>
          <w:color w:val="auto"/>
          <w:sz w:val="24"/>
          <w:szCs w:val="24"/>
        </w:rPr>
        <w:t>4.1. Primeras Directivas</w:t>
      </w:r>
    </w:p>
    <w:p w14:paraId="7BE0E23A" w14:textId="77777777" w:rsidR="008F2906" w:rsidRPr="00C25931" w:rsidRDefault="008F2906" w:rsidP="00C25931">
      <w:pPr>
        <w:numPr>
          <w:ilvl w:val="1"/>
          <w:numId w:val="46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Directiva 90/219/CEE: Regulaba la utilización confinada de microorganismos para evitar su propagación (enfoque restrictivo/seguridad).</w:t>
      </w:r>
    </w:p>
    <w:p w14:paraId="7D53C832" w14:textId="77777777" w:rsidR="008F2906" w:rsidRPr="00C25931" w:rsidRDefault="008F2906" w:rsidP="00C25931">
      <w:pPr>
        <w:numPr>
          <w:ilvl w:val="1"/>
          <w:numId w:val="46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 xml:space="preserve">Directiva 90/220/CEE: Regulaba la liberación intencional en el medio ambiente, exigiendo evaluación de riesgos estricta (sustituida por la </w:t>
      </w:r>
      <w:r w:rsidRPr="00C25931">
        <w:rPr>
          <w:rFonts w:ascii="Cambria" w:hAnsi="Cambria"/>
          <w:u w:val="single"/>
        </w:rPr>
        <w:t>Dir. 2001/18/CE</w:t>
      </w:r>
      <w:r w:rsidRPr="00C25931">
        <w:rPr>
          <w:rFonts w:ascii="Cambria" w:hAnsi="Cambria"/>
        </w:rPr>
        <w:t>).</w:t>
      </w:r>
    </w:p>
    <w:p w14:paraId="1234338F" w14:textId="77777777" w:rsidR="008F2906" w:rsidRPr="00C25931" w:rsidRDefault="008F2906" w:rsidP="00C25931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C25931">
        <w:rPr>
          <w:rFonts w:ascii="Cambria" w:hAnsi="Cambria"/>
          <w:b/>
          <w:bCs/>
          <w:color w:val="auto"/>
          <w:sz w:val="28"/>
          <w:szCs w:val="28"/>
        </w:rPr>
        <w:t>5. TRAZABILIDAD Y ETIQUETADO</w:t>
      </w:r>
    </w:p>
    <w:p w14:paraId="77AA9F21" w14:textId="77777777" w:rsidR="008F2906" w:rsidRPr="00C25931" w:rsidRDefault="008F2906" w:rsidP="00C2593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25931">
        <w:rPr>
          <w:rFonts w:ascii="Cambria" w:hAnsi="Cambria"/>
          <w:b/>
          <w:bCs/>
          <w:color w:val="auto"/>
          <w:sz w:val="24"/>
          <w:szCs w:val="24"/>
        </w:rPr>
        <w:t>5.1. Reglamento (CE) 1829/2003 (Alimentos y Piensos)</w:t>
      </w:r>
    </w:p>
    <w:p w14:paraId="67A7BF4E" w14:textId="5440E70E" w:rsidR="008F2906" w:rsidRPr="00C25931" w:rsidRDefault="008F2906" w:rsidP="00C25931">
      <w:pPr>
        <w:numPr>
          <w:ilvl w:val="1"/>
          <w:numId w:val="47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Establece un procedimiento único de autorización válido para 10 años, gestionado por la Comisión con base científica de la EFSA.</w:t>
      </w:r>
    </w:p>
    <w:p w14:paraId="2962F92A" w14:textId="77777777" w:rsidR="008F2906" w:rsidRPr="00C25931" w:rsidRDefault="008F2906" w:rsidP="00C25931">
      <w:pPr>
        <w:numPr>
          <w:ilvl w:val="1"/>
          <w:numId w:val="47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Cubre OGM para alimentación humana, animal y liberación al medio ambiente.</w:t>
      </w:r>
    </w:p>
    <w:p w14:paraId="54FD9454" w14:textId="77777777" w:rsidR="008F2906" w:rsidRPr="00C25931" w:rsidRDefault="008F2906" w:rsidP="00C25931">
      <w:pPr>
        <w:numPr>
          <w:ilvl w:val="1"/>
          <w:numId w:val="47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lastRenderedPageBreak/>
        <w:t>Impone etiquetado obligatorio para informar al consumidor, salvo presencia accidental inferior al 0,9%.</w:t>
      </w:r>
    </w:p>
    <w:p w14:paraId="1F302CB7" w14:textId="77777777" w:rsidR="008F2906" w:rsidRPr="00C25931" w:rsidRDefault="008F2906" w:rsidP="00C2593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25931">
        <w:rPr>
          <w:rFonts w:ascii="Cambria" w:hAnsi="Cambria"/>
          <w:b/>
          <w:bCs/>
          <w:color w:val="auto"/>
          <w:sz w:val="24"/>
          <w:szCs w:val="24"/>
        </w:rPr>
        <w:t>5.2. Reglamento (CE) 1830/2003 (Trazabilidad)</w:t>
      </w:r>
    </w:p>
    <w:p w14:paraId="163025ED" w14:textId="34BFB92C" w:rsidR="008F2906" w:rsidRPr="00C25931" w:rsidRDefault="008F2906" w:rsidP="00C25931">
      <w:pPr>
        <w:numPr>
          <w:ilvl w:val="1"/>
          <w:numId w:val="47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Garantiza la trazabilidad en toda la cadena (red de seguridad) para facilitar retiradas y verificar etiquetado.</w:t>
      </w:r>
    </w:p>
    <w:p w14:paraId="502BA67A" w14:textId="77777777" w:rsidR="008F2906" w:rsidRPr="00C25931" w:rsidRDefault="008F2906" w:rsidP="00C25931">
      <w:pPr>
        <w:numPr>
          <w:ilvl w:val="1"/>
          <w:numId w:val="47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Obliga a transmitir por escrito la identidad del OGM (códigos únicos) entre operadores.</w:t>
      </w:r>
    </w:p>
    <w:p w14:paraId="359E64B2" w14:textId="77777777" w:rsidR="008F2906" w:rsidRPr="00C25931" w:rsidRDefault="008F2906" w:rsidP="00C25931">
      <w:pPr>
        <w:numPr>
          <w:ilvl w:val="1"/>
          <w:numId w:val="47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Mantiene la exención de etiquetado para trazas accidentales/inevitables bajo el umbral del 0,9%.</w:t>
      </w:r>
    </w:p>
    <w:p w14:paraId="1889DA5B" w14:textId="09B0873D" w:rsidR="008F2906" w:rsidRPr="00C25931" w:rsidRDefault="008F2906" w:rsidP="00C2593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25931">
        <w:rPr>
          <w:rFonts w:ascii="Cambria" w:hAnsi="Cambria"/>
          <w:b/>
          <w:bCs/>
          <w:color w:val="auto"/>
          <w:sz w:val="24"/>
          <w:szCs w:val="24"/>
        </w:rPr>
        <w:t>5.3. Legislación Relacionada</w:t>
      </w:r>
    </w:p>
    <w:p w14:paraId="7B8A98CA" w14:textId="77777777" w:rsidR="008F2906" w:rsidRPr="00C25931" w:rsidRDefault="008F2906" w:rsidP="00C25931">
      <w:pPr>
        <w:numPr>
          <w:ilvl w:val="1"/>
          <w:numId w:val="47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La Directiva (UE) 2015/412 modificó la norma para permitir a los Estados miembros prohibir o restringir el cultivo de OGM en su territorio por motivos no científicos (política ambiental, socioeconómicos), sin afectar la autorización de comercialización de la UE.</w:t>
      </w:r>
    </w:p>
    <w:p w14:paraId="0F148562" w14:textId="77777777" w:rsidR="008F2906" w:rsidRPr="00C25931" w:rsidRDefault="008F2906" w:rsidP="00C25931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C25931">
        <w:rPr>
          <w:rFonts w:ascii="Cambria" w:hAnsi="Cambria"/>
          <w:b/>
          <w:bCs/>
          <w:color w:val="auto"/>
          <w:sz w:val="28"/>
          <w:szCs w:val="28"/>
        </w:rPr>
        <w:t>6. LEGISLACIÓN INTERNACIONAL</w:t>
      </w:r>
    </w:p>
    <w:p w14:paraId="214DA7CB" w14:textId="77777777" w:rsidR="008F2906" w:rsidRPr="00C25931" w:rsidRDefault="008F2906" w:rsidP="00C2593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25931">
        <w:rPr>
          <w:rFonts w:ascii="Cambria" w:hAnsi="Cambria"/>
          <w:b/>
          <w:bCs/>
          <w:color w:val="auto"/>
          <w:sz w:val="24"/>
          <w:szCs w:val="24"/>
        </w:rPr>
        <w:t>6.1. Organismos y Tratados</w:t>
      </w:r>
    </w:p>
    <w:p w14:paraId="3B2ACA26" w14:textId="4E4B5EEA" w:rsidR="008F2906" w:rsidRPr="00C25931" w:rsidRDefault="008F2906" w:rsidP="00C25931">
      <w:pPr>
        <w:numPr>
          <w:ilvl w:val="1"/>
          <w:numId w:val="48"/>
        </w:numPr>
        <w:jc w:val="both"/>
        <w:rPr>
          <w:rFonts w:ascii="Cambria" w:hAnsi="Cambria"/>
        </w:rPr>
      </w:pPr>
      <w:r w:rsidRPr="00C25931">
        <w:rPr>
          <w:rFonts w:ascii="Cambria" w:hAnsi="Cambria"/>
          <w:u w:val="single"/>
        </w:rPr>
        <w:t xml:space="preserve">Codex </w:t>
      </w:r>
      <w:proofErr w:type="spellStart"/>
      <w:r w:rsidRPr="00C25931">
        <w:rPr>
          <w:rFonts w:ascii="Cambria" w:hAnsi="Cambria"/>
          <w:u w:val="single"/>
        </w:rPr>
        <w:t>Alimentarius</w:t>
      </w:r>
      <w:proofErr w:type="spellEnd"/>
      <w:r w:rsidRPr="00C25931">
        <w:rPr>
          <w:rFonts w:ascii="Cambria" w:hAnsi="Cambria"/>
        </w:rPr>
        <w:t>: Establece principios de análisis de riesgos referenciados por la OMC.</w:t>
      </w:r>
    </w:p>
    <w:p w14:paraId="7399DE81" w14:textId="7F2C7562" w:rsidR="008F2906" w:rsidRPr="00C25931" w:rsidRDefault="008F2906" w:rsidP="00C25931">
      <w:pPr>
        <w:numPr>
          <w:ilvl w:val="1"/>
          <w:numId w:val="48"/>
        </w:numPr>
        <w:jc w:val="both"/>
        <w:rPr>
          <w:rFonts w:ascii="Cambria" w:hAnsi="Cambria"/>
        </w:rPr>
      </w:pPr>
      <w:r w:rsidRPr="00C25931">
        <w:rPr>
          <w:rFonts w:ascii="Cambria" w:hAnsi="Cambria"/>
          <w:u w:val="single"/>
        </w:rPr>
        <w:t>Protocolo de Cartagena</w:t>
      </w:r>
      <w:r w:rsidRPr="00C25931">
        <w:rPr>
          <w:rFonts w:ascii="Cambria" w:hAnsi="Cambria"/>
        </w:rPr>
        <w:t>: Acuerdo vinculante sobre movimientos transfronterizos de Organismos Vivos Modificados (LMO). Exige consentimiento previo informado para la primera liberación y documentación precisa en los envíos.</w:t>
      </w:r>
    </w:p>
    <w:p w14:paraId="70F9FEBC" w14:textId="77777777" w:rsidR="008F2906" w:rsidRPr="00C25931" w:rsidRDefault="008F2906" w:rsidP="00C2593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25931">
        <w:rPr>
          <w:rFonts w:ascii="Cambria" w:hAnsi="Cambria"/>
          <w:b/>
          <w:bCs/>
          <w:color w:val="auto"/>
          <w:sz w:val="24"/>
          <w:szCs w:val="24"/>
        </w:rPr>
        <w:t>6.2. Evolución del Protocolo</w:t>
      </w:r>
    </w:p>
    <w:p w14:paraId="41AE6683" w14:textId="77777777" w:rsidR="008F2906" w:rsidRPr="00C25931" w:rsidRDefault="008F2906" w:rsidP="00C25931">
      <w:pPr>
        <w:numPr>
          <w:ilvl w:val="1"/>
          <w:numId w:val="48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Incluye el Protocolo de Nagoya-Kuala Lumpur (responsabilidad y compensación) y reuniones periódicas (COP-MOP) para tratar evaluación de riesgos y consideraciones socioeconómicas.</w:t>
      </w:r>
    </w:p>
    <w:p w14:paraId="5A9F7EF0" w14:textId="583A629F" w:rsidR="008F2906" w:rsidRPr="00C25931" w:rsidRDefault="008F2906" w:rsidP="00C25931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C25931">
        <w:rPr>
          <w:rFonts w:ascii="Cambria" w:hAnsi="Cambria"/>
          <w:b/>
          <w:bCs/>
          <w:color w:val="auto"/>
          <w:sz w:val="28"/>
          <w:szCs w:val="28"/>
        </w:rPr>
        <w:t xml:space="preserve">7. NUEVOS ALIMENTOS </w:t>
      </w:r>
    </w:p>
    <w:p w14:paraId="33D5A4BD" w14:textId="77777777" w:rsidR="008F2906" w:rsidRPr="00C25931" w:rsidRDefault="008F2906" w:rsidP="00C25931">
      <w:pPr>
        <w:pStyle w:val="Ttulo2"/>
        <w:jc w:val="both"/>
        <w:rPr>
          <w:rFonts w:ascii="Cambria" w:hAnsi="Cambria"/>
        </w:rPr>
      </w:pPr>
      <w:r w:rsidRPr="00C25931">
        <w:rPr>
          <w:rFonts w:ascii="Cambria" w:hAnsi="Cambria"/>
          <w:b/>
          <w:bCs/>
          <w:color w:val="auto"/>
          <w:sz w:val="24"/>
          <w:szCs w:val="24"/>
        </w:rPr>
        <w:t>7.1. Definición y Categorías</w:t>
      </w:r>
    </w:p>
    <w:p w14:paraId="261DC18D" w14:textId="77777777" w:rsidR="008F2906" w:rsidRPr="00C25931" w:rsidRDefault="008F2906" w:rsidP="00C25931">
      <w:pPr>
        <w:numPr>
          <w:ilvl w:val="1"/>
          <w:numId w:val="49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Alimentos no consumidos significativamente en la UE antes del 15 de mayo de 1997.</w:t>
      </w:r>
    </w:p>
    <w:p w14:paraId="5E96FE5C" w14:textId="77777777" w:rsidR="008F2906" w:rsidRPr="00C25931" w:rsidRDefault="008F2906" w:rsidP="00C25931">
      <w:pPr>
        <w:numPr>
          <w:ilvl w:val="1"/>
          <w:numId w:val="49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Incluye: nueva estructura molecular, origen en microorganismos/hongos/algas, origen vegetal/animal exótico o procesos de producción innovadores (nanomateriales).</w:t>
      </w:r>
    </w:p>
    <w:p w14:paraId="61A8FBD7" w14:textId="77777777" w:rsidR="008F2906" w:rsidRPr="00C25931" w:rsidRDefault="008F2906" w:rsidP="00C2593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25931">
        <w:rPr>
          <w:rFonts w:ascii="Cambria" w:hAnsi="Cambria"/>
          <w:b/>
          <w:bCs/>
          <w:color w:val="auto"/>
          <w:sz w:val="24"/>
          <w:szCs w:val="24"/>
        </w:rPr>
        <w:lastRenderedPageBreak/>
        <w:t>7.2. Reglamento (UE) 2015/2283</w:t>
      </w:r>
    </w:p>
    <w:p w14:paraId="2AD260F1" w14:textId="77777777" w:rsidR="008F2906" w:rsidRPr="00C25931" w:rsidRDefault="008F2906" w:rsidP="00C25931">
      <w:pPr>
        <w:numPr>
          <w:ilvl w:val="1"/>
          <w:numId w:val="49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Sustituyó a la normativa de 1997 para centralizar y agilizar autorizaciones.</w:t>
      </w:r>
    </w:p>
    <w:p w14:paraId="63DDBE5D" w14:textId="77777777" w:rsidR="008F2906" w:rsidRPr="00C25931" w:rsidRDefault="008F2906" w:rsidP="00C25931">
      <w:pPr>
        <w:numPr>
          <w:ilvl w:val="1"/>
          <w:numId w:val="49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Procedimiento: Evaluación de seguridad por la EFSA y autorización por la Comisión (Lista de la Unión).</w:t>
      </w:r>
    </w:p>
    <w:p w14:paraId="4CDCD432" w14:textId="6F63BD11" w:rsidR="008F2906" w:rsidRPr="00C25931" w:rsidRDefault="008F2906" w:rsidP="00C25931">
      <w:pPr>
        <w:numPr>
          <w:ilvl w:val="1"/>
          <w:numId w:val="49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 xml:space="preserve">Introduce un procedimiento simplificado para alimentos tradicionales de </w:t>
      </w:r>
      <w:r w:rsidR="000428CE" w:rsidRPr="00C25931">
        <w:rPr>
          <w:rFonts w:ascii="Cambria" w:hAnsi="Cambria"/>
        </w:rPr>
        <w:t xml:space="preserve">TTPP </w:t>
      </w:r>
      <w:r w:rsidRPr="00C25931">
        <w:rPr>
          <w:rFonts w:ascii="Cambria" w:hAnsi="Cambria"/>
        </w:rPr>
        <w:t>(basado en historial de uso seguro de 25 años).</w:t>
      </w:r>
    </w:p>
    <w:p w14:paraId="4EC556E8" w14:textId="77777777" w:rsidR="008F2906" w:rsidRPr="00C25931" w:rsidRDefault="008F2906" w:rsidP="00C25931">
      <w:pPr>
        <w:numPr>
          <w:ilvl w:val="1"/>
          <w:numId w:val="49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Incluye alimentos de animales clonados (hasta legislación específica) y exige autorización previa para nanomateriales artificiales.</w:t>
      </w:r>
    </w:p>
    <w:p w14:paraId="03A3ECD5" w14:textId="77777777" w:rsidR="008F2906" w:rsidRPr="00C25931" w:rsidRDefault="008F2906" w:rsidP="00C2593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25931">
        <w:rPr>
          <w:rFonts w:ascii="Cambria" w:hAnsi="Cambria"/>
          <w:b/>
          <w:bCs/>
          <w:color w:val="auto"/>
          <w:sz w:val="24"/>
          <w:szCs w:val="24"/>
        </w:rPr>
        <w:t>7.3. Catálogo y Procedimiento</w:t>
      </w:r>
    </w:p>
    <w:p w14:paraId="42C16618" w14:textId="52E664F9" w:rsidR="008F2906" w:rsidRPr="00C25931" w:rsidRDefault="008F2906" w:rsidP="00C25931">
      <w:pPr>
        <w:numPr>
          <w:ilvl w:val="1"/>
          <w:numId w:val="49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Existe un Catálogo Público para orientar sobre el estatus de un alimento.</w:t>
      </w:r>
    </w:p>
    <w:p w14:paraId="107681D6" w14:textId="39379BEE" w:rsidR="008F2906" w:rsidRPr="00C25931" w:rsidRDefault="008F2906" w:rsidP="00C25931">
      <w:pPr>
        <w:numPr>
          <w:ilvl w:val="1"/>
          <w:numId w:val="49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El operador es responsable de verificar el estatus y, si es nuevo, solicitar la autorización demostrando su seguridad.</w:t>
      </w:r>
    </w:p>
    <w:p w14:paraId="2D5F9D6D" w14:textId="77777777" w:rsidR="008F2906" w:rsidRPr="00C25931" w:rsidRDefault="008F2906" w:rsidP="00C25931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C25931">
        <w:rPr>
          <w:rFonts w:ascii="Cambria" w:hAnsi="Cambria"/>
          <w:b/>
          <w:bCs/>
          <w:color w:val="auto"/>
          <w:sz w:val="28"/>
          <w:szCs w:val="28"/>
        </w:rPr>
        <w:t>8. CONCLUSIÓN</w:t>
      </w:r>
    </w:p>
    <w:p w14:paraId="4827184B" w14:textId="77777777" w:rsidR="008F2906" w:rsidRPr="00C25931" w:rsidRDefault="008F2906" w:rsidP="00C2593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25931">
        <w:rPr>
          <w:rFonts w:ascii="Cambria" w:hAnsi="Cambria"/>
          <w:b/>
          <w:bCs/>
          <w:color w:val="auto"/>
          <w:sz w:val="24"/>
          <w:szCs w:val="24"/>
        </w:rPr>
        <w:t>8.1. Perspectivas y Retos Actuales</w:t>
      </w:r>
    </w:p>
    <w:p w14:paraId="1EDBC9D8" w14:textId="77777777" w:rsidR="008F2906" w:rsidRPr="00C25931" w:rsidRDefault="008F2906" w:rsidP="00C25931">
      <w:pPr>
        <w:numPr>
          <w:ilvl w:val="1"/>
          <w:numId w:val="50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La aceptación social de la tecnología alimentaria varía, requiriendo comunicación sobre riesgos-beneficios.</w:t>
      </w:r>
    </w:p>
    <w:p w14:paraId="70DB19B7" w14:textId="77777777" w:rsidR="008F2906" w:rsidRPr="00C25931" w:rsidRDefault="008F2906" w:rsidP="00C25931">
      <w:pPr>
        <w:numPr>
          <w:ilvl w:val="1"/>
          <w:numId w:val="50"/>
        </w:numPr>
        <w:jc w:val="both"/>
        <w:rPr>
          <w:rFonts w:ascii="Cambria" w:hAnsi="Cambria"/>
        </w:rPr>
      </w:pPr>
      <w:r w:rsidRPr="00C25931">
        <w:rPr>
          <w:rFonts w:ascii="Cambria" w:hAnsi="Cambria"/>
        </w:rPr>
        <w:t>Crisis geopolíticas (Guerra en Ucrania) han reabierto debates sobre la relajación de normas OGM para garantizar el suministro, tensionando la postura entre seguridad estricta y necesidad de abastecimiento.</w:t>
      </w:r>
    </w:p>
    <w:p w14:paraId="6A9B72F7" w14:textId="77777777" w:rsidR="00A65383" w:rsidRPr="00C25931" w:rsidRDefault="00A65383" w:rsidP="00C25931">
      <w:pPr>
        <w:jc w:val="both"/>
        <w:rPr>
          <w:rFonts w:ascii="Cambria" w:hAnsi="Cambria"/>
        </w:rPr>
      </w:pPr>
    </w:p>
    <w:sectPr w:rsidR="00A65383" w:rsidRPr="00C2593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FB3FD" w14:textId="77777777" w:rsidR="00412414" w:rsidRDefault="00412414" w:rsidP="00412414">
      <w:pPr>
        <w:spacing w:after="0" w:line="240" w:lineRule="auto"/>
      </w:pPr>
      <w:r>
        <w:separator/>
      </w:r>
    </w:p>
  </w:endnote>
  <w:endnote w:type="continuationSeparator" w:id="0">
    <w:p w14:paraId="37E74F4E" w14:textId="77777777" w:rsidR="00412414" w:rsidRDefault="00412414" w:rsidP="00412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5188D" w14:textId="77777777" w:rsidR="00412414" w:rsidRDefault="00412414" w:rsidP="00412414">
      <w:pPr>
        <w:spacing w:after="0" w:line="240" w:lineRule="auto"/>
      </w:pPr>
      <w:r>
        <w:separator/>
      </w:r>
    </w:p>
  </w:footnote>
  <w:footnote w:type="continuationSeparator" w:id="0">
    <w:p w14:paraId="455D2A9E" w14:textId="77777777" w:rsidR="00412414" w:rsidRDefault="00412414" w:rsidP="00412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6F100" w14:textId="3430FF27" w:rsidR="00412414" w:rsidRPr="00412414" w:rsidRDefault="00412414" w:rsidP="00412414">
    <w:pPr>
      <w:pStyle w:val="Encabezado"/>
      <w:tabs>
        <w:tab w:val="left" w:pos="709"/>
      </w:tabs>
      <w:jc w:val="both"/>
      <w:rPr>
        <w:rFonts w:ascii="Palatino Linotype" w:hAnsi="Palatino Linotype"/>
        <w:i/>
        <w:iCs/>
      </w:rPr>
    </w:pPr>
    <w:r w:rsidRPr="00412414">
      <w:rPr>
        <w:rFonts w:ascii="Palatino Linotype" w:hAnsi="Palatino Linotype"/>
        <w:b/>
        <w:bCs/>
        <w:i/>
        <w:iCs/>
      </w:rPr>
      <w:t>TEMA 48 -</w:t>
    </w:r>
    <w:r w:rsidRPr="00412414">
      <w:rPr>
        <w:rFonts w:ascii="Palatino Linotype" w:hAnsi="Palatino Linotype"/>
        <w:i/>
        <w:iCs/>
      </w:rPr>
      <w:t xml:space="preserve"> Política de protección de los consumidores de la Unión Europea: Salud y Seguridad. Organismos Genéticamente Modificados Nuevos Alimentos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3DF8"/>
    <w:multiLevelType w:val="multilevel"/>
    <w:tmpl w:val="08E4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7262C"/>
    <w:multiLevelType w:val="multilevel"/>
    <w:tmpl w:val="3F90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60C25"/>
    <w:multiLevelType w:val="multilevel"/>
    <w:tmpl w:val="0FDC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44AFD"/>
    <w:multiLevelType w:val="multilevel"/>
    <w:tmpl w:val="3C76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C282D"/>
    <w:multiLevelType w:val="multilevel"/>
    <w:tmpl w:val="DF4A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421C8"/>
    <w:multiLevelType w:val="multilevel"/>
    <w:tmpl w:val="35EA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B5F28"/>
    <w:multiLevelType w:val="multilevel"/>
    <w:tmpl w:val="7A4A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B7076"/>
    <w:multiLevelType w:val="multilevel"/>
    <w:tmpl w:val="7948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83E26"/>
    <w:multiLevelType w:val="multilevel"/>
    <w:tmpl w:val="D1E4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B45EF"/>
    <w:multiLevelType w:val="multilevel"/>
    <w:tmpl w:val="2834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25C4F"/>
    <w:multiLevelType w:val="multilevel"/>
    <w:tmpl w:val="30A2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42C42"/>
    <w:multiLevelType w:val="multilevel"/>
    <w:tmpl w:val="3698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563570"/>
    <w:multiLevelType w:val="multilevel"/>
    <w:tmpl w:val="8346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F8535F"/>
    <w:multiLevelType w:val="multilevel"/>
    <w:tmpl w:val="3078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A29E1"/>
    <w:multiLevelType w:val="multilevel"/>
    <w:tmpl w:val="91FC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733F8"/>
    <w:multiLevelType w:val="multilevel"/>
    <w:tmpl w:val="C98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E50B80"/>
    <w:multiLevelType w:val="multilevel"/>
    <w:tmpl w:val="A57E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7B3832"/>
    <w:multiLevelType w:val="multilevel"/>
    <w:tmpl w:val="4C58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071F76"/>
    <w:multiLevelType w:val="multilevel"/>
    <w:tmpl w:val="31EE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B95EA8"/>
    <w:multiLevelType w:val="multilevel"/>
    <w:tmpl w:val="2AB0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757896"/>
    <w:multiLevelType w:val="multilevel"/>
    <w:tmpl w:val="B884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86FDE"/>
    <w:multiLevelType w:val="multilevel"/>
    <w:tmpl w:val="E1C0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E64F16"/>
    <w:multiLevelType w:val="multilevel"/>
    <w:tmpl w:val="80CA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0F479F"/>
    <w:multiLevelType w:val="multilevel"/>
    <w:tmpl w:val="C014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4213C"/>
    <w:multiLevelType w:val="multilevel"/>
    <w:tmpl w:val="5F78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3E27CF"/>
    <w:multiLevelType w:val="multilevel"/>
    <w:tmpl w:val="B54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0540"/>
    <w:multiLevelType w:val="multilevel"/>
    <w:tmpl w:val="4DC2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4C7707"/>
    <w:multiLevelType w:val="multilevel"/>
    <w:tmpl w:val="23C2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0E7DF6"/>
    <w:multiLevelType w:val="multilevel"/>
    <w:tmpl w:val="35F6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155148"/>
    <w:multiLevelType w:val="multilevel"/>
    <w:tmpl w:val="F9F0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F467B2"/>
    <w:multiLevelType w:val="multilevel"/>
    <w:tmpl w:val="C58C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3945A6"/>
    <w:multiLevelType w:val="multilevel"/>
    <w:tmpl w:val="8234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813444"/>
    <w:multiLevelType w:val="multilevel"/>
    <w:tmpl w:val="AFF2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AA4D77"/>
    <w:multiLevelType w:val="multilevel"/>
    <w:tmpl w:val="1EB4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C119DF"/>
    <w:multiLevelType w:val="multilevel"/>
    <w:tmpl w:val="5268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D21AF4"/>
    <w:multiLevelType w:val="multilevel"/>
    <w:tmpl w:val="83B8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640B70"/>
    <w:multiLevelType w:val="multilevel"/>
    <w:tmpl w:val="DC6C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9D6CC1"/>
    <w:multiLevelType w:val="multilevel"/>
    <w:tmpl w:val="CE76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6D5580"/>
    <w:multiLevelType w:val="multilevel"/>
    <w:tmpl w:val="89B2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886692"/>
    <w:multiLevelType w:val="multilevel"/>
    <w:tmpl w:val="60E6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8A2FAB"/>
    <w:multiLevelType w:val="multilevel"/>
    <w:tmpl w:val="D5C8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0C1DE8"/>
    <w:multiLevelType w:val="multilevel"/>
    <w:tmpl w:val="2014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657595"/>
    <w:multiLevelType w:val="multilevel"/>
    <w:tmpl w:val="2728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6B21F0"/>
    <w:multiLevelType w:val="multilevel"/>
    <w:tmpl w:val="4F52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5D5B72"/>
    <w:multiLevelType w:val="multilevel"/>
    <w:tmpl w:val="D0EC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340A90"/>
    <w:multiLevelType w:val="multilevel"/>
    <w:tmpl w:val="B3BC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E64C16"/>
    <w:multiLevelType w:val="multilevel"/>
    <w:tmpl w:val="5B1A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71436D"/>
    <w:multiLevelType w:val="multilevel"/>
    <w:tmpl w:val="D588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F215AC"/>
    <w:multiLevelType w:val="multilevel"/>
    <w:tmpl w:val="2B50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2A0303"/>
    <w:multiLevelType w:val="multilevel"/>
    <w:tmpl w:val="5FCC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015693">
    <w:abstractNumId w:val="42"/>
  </w:num>
  <w:num w:numId="2" w16cid:durableId="1717045773">
    <w:abstractNumId w:val="24"/>
  </w:num>
  <w:num w:numId="3" w16cid:durableId="297954962">
    <w:abstractNumId w:val="29"/>
  </w:num>
  <w:num w:numId="4" w16cid:durableId="1572424094">
    <w:abstractNumId w:val="21"/>
  </w:num>
  <w:num w:numId="5" w16cid:durableId="1027831468">
    <w:abstractNumId w:val="45"/>
  </w:num>
  <w:num w:numId="6" w16cid:durableId="649554349">
    <w:abstractNumId w:val="41"/>
  </w:num>
  <w:num w:numId="7" w16cid:durableId="1147281556">
    <w:abstractNumId w:val="34"/>
  </w:num>
  <w:num w:numId="8" w16cid:durableId="816456401">
    <w:abstractNumId w:val="0"/>
  </w:num>
  <w:num w:numId="9" w16cid:durableId="107043279">
    <w:abstractNumId w:val="33"/>
  </w:num>
  <w:num w:numId="10" w16cid:durableId="539514270">
    <w:abstractNumId w:val="9"/>
  </w:num>
  <w:num w:numId="11" w16cid:durableId="115299070">
    <w:abstractNumId w:val="31"/>
  </w:num>
  <w:num w:numId="12" w16cid:durableId="2025473528">
    <w:abstractNumId w:val="15"/>
  </w:num>
  <w:num w:numId="13" w16cid:durableId="200942052">
    <w:abstractNumId w:val="47"/>
  </w:num>
  <w:num w:numId="14" w16cid:durableId="220333004">
    <w:abstractNumId w:val="39"/>
  </w:num>
  <w:num w:numId="15" w16cid:durableId="947002107">
    <w:abstractNumId w:val="26"/>
  </w:num>
  <w:num w:numId="16" w16cid:durableId="1929996530">
    <w:abstractNumId w:val="20"/>
  </w:num>
  <w:num w:numId="17" w16cid:durableId="1088114728">
    <w:abstractNumId w:val="40"/>
  </w:num>
  <w:num w:numId="18" w16cid:durableId="1493569505">
    <w:abstractNumId w:val="23"/>
  </w:num>
  <w:num w:numId="19" w16cid:durableId="1699160636">
    <w:abstractNumId w:val="35"/>
  </w:num>
  <w:num w:numId="20" w16cid:durableId="1318606411">
    <w:abstractNumId w:val="2"/>
  </w:num>
  <w:num w:numId="21" w16cid:durableId="1586373958">
    <w:abstractNumId w:val="19"/>
  </w:num>
  <w:num w:numId="22" w16cid:durableId="760030013">
    <w:abstractNumId w:val="17"/>
  </w:num>
  <w:num w:numId="23" w16cid:durableId="2096852809">
    <w:abstractNumId w:val="5"/>
  </w:num>
  <w:num w:numId="24" w16cid:durableId="870453328">
    <w:abstractNumId w:val="4"/>
  </w:num>
  <w:num w:numId="25" w16cid:durableId="1633091947">
    <w:abstractNumId w:val="3"/>
  </w:num>
  <w:num w:numId="26" w16cid:durableId="597370858">
    <w:abstractNumId w:val="12"/>
  </w:num>
  <w:num w:numId="27" w16cid:durableId="1276254831">
    <w:abstractNumId w:val="37"/>
  </w:num>
  <w:num w:numId="28" w16cid:durableId="900676673">
    <w:abstractNumId w:val="25"/>
  </w:num>
  <w:num w:numId="29" w16cid:durableId="1362824153">
    <w:abstractNumId w:val="28"/>
  </w:num>
  <w:num w:numId="30" w16cid:durableId="442850304">
    <w:abstractNumId w:val="14"/>
  </w:num>
  <w:num w:numId="31" w16cid:durableId="534776910">
    <w:abstractNumId w:val="10"/>
  </w:num>
  <w:num w:numId="32" w16cid:durableId="174655615">
    <w:abstractNumId w:val="18"/>
  </w:num>
  <w:num w:numId="33" w16cid:durableId="1674528745">
    <w:abstractNumId w:val="11"/>
  </w:num>
  <w:num w:numId="34" w16cid:durableId="1413507711">
    <w:abstractNumId w:val="46"/>
  </w:num>
  <w:num w:numId="35" w16cid:durableId="1386295602">
    <w:abstractNumId w:val="27"/>
  </w:num>
  <w:num w:numId="36" w16cid:durableId="1476676106">
    <w:abstractNumId w:val="7"/>
  </w:num>
  <w:num w:numId="37" w16cid:durableId="1168982035">
    <w:abstractNumId w:val="13"/>
  </w:num>
  <w:num w:numId="38" w16cid:durableId="613175999">
    <w:abstractNumId w:val="38"/>
  </w:num>
  <w:num w:numId="39" w16cid:durableId="1176578437">
    <w:abstractNumId w:val="22"/>
  </w:num>
  <w:num w:numId="40" w16cid:durableId="1752696519">
    <w:abstractNumId w:val="8"/>
  </w:num>
  <w:num w:numId="41" w16cid:durableId="1105461974">
    <w:abstractNumId w:val="16"/>
  </w:num>
  <w:num w:numId="42" w16cid:durableId="421683097">
    <w:abstractNumId w:val="43"/>
  </w:num>
  <w:num w:numId="43" w16cid:durableId="2043019369">
    <w:abstractNumId w:val="1"/>
  </w:num>
  <w:num w:numId="44" w16cid:durableId="1040472633">
    <w:abstractNumId w:val="36"/>
  </w:num>
  <w:num w:numId="45" w16cid:durableId="120193830">
    <w:abstractNumId w:val="49"/>
  </w:num>
  <w:num w:numId="46" w16cid:durableId="736166396">
    <w:abstractNumId w:val="48"/>
  </w:num>
  <w:num w:numId="47" w16cid:durableId="1701249030">
    <w:abstractNumId w:val="30"/>
  </w:num>
  <w:num w:numId="48" w16cid:durableId="1577471460">
    <w:abstractNumId w:val="6"/>
  </w:num>
  <w:num w:numId="49" w16cid:durableId="1791240716">
    <w:abstractNumId w:val="44"/>
  </w:num>
  <w:num w:numId="50" w16cid:durableId="208814076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414"/>
    <w:rsid w:val="000428CE"/>
    <w:rsid w:val="00046ED7"/>
    <w:rsid w:val="00106D8F"/>
    <w:rsid w:val="002C68BF"/>
    <w:rsid w:val="00412414"/>
    <w:rsid w:val="005803BC"/>
    <w:rsid w:val="0082475F"/>
    <w:rsid w:val="008F2906"/>
    <w:rsid w:val="008F4647"/>
    <w:rsid w:val="009F29C2"/>
    <w:rsid w:val="00A65383"/>
    <w:rsid w:val="00A8675C"/>
    <w:rsid w:val="00C12CFD"/>
    <w:rsid w:val="00C25931"/>
    <w:rsid w:val="00E25FF0"/>
    <w:rsid w:val="00F0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94432"/>
  <w15:chartTrackingRefBased/>
  <w15:docId w15:val="{9423583E-70E2-40BB-9808-FF452DA88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2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12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2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2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2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2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2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2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2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12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12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2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24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24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24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24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24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24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2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2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2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2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2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2414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4124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2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24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241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124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2414"/>
  </w:style>
  <w:style w:type="paragraph" w:styleId="Piedepgina">
    <w:name w:val="footer"/>
    <w:basedOn w:val="Normal"/>
    <w:link w:val="PiedepginaCar"/>
    <w:uiPriority w:val="99"/>
    <w:unhideWhenUsed/>
    <w:rsid w:val="004124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24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3868</TotalTime>
  <Pages>5</Pages>
  <Words>1209</Words>
  <Characters>6651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8</cp:revision>
  <dcterms:created xsi:type="dcterms:W3CDTF">2025-12-10T08:22:00Z</dcterms:created>
  <dcterms:modified xsi:type="dcterms:W3CDTF">2026-01-14T14:33:00Z</dcterms:modified>
</cp:coreProperties>
</file>