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66A8F" w14:textId="77777777" w:rsidR="00844863" w:rsidRPr="0029320E" w:rsidRDefault="00844863" w:rsidP="0029320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320E">
        <w:rPr>
          <w:rFonts w:ascii="Cambria" w:hAnsi="Cambria"/>
          <w:b/>
          <w:bCs/>
          <w:color w:val="auto"/>
          <w:sz w:val="28"/>
          <w:szCs w:val="28"/>
        </w:rPr>
        <w:t>1. INTRODUCCIÓN</w:t>
      </w:r>
    </w:p>
    <w:p w14:paraId="5632AD04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1.1. Hitos y Marco General</w:t>
      </w:r>
    </w:p>
    <w:p w14:paraId="71244DB7" w14:textId="5042717E" w:rsidR="00844863" w:rsidRPr="0029320E" w:rsidRDefault="00844863" w:rsidP="0029320E">
      <w:pPr>
        <w:numPr>
          <w:ilvl w:val="1"/>
          <w:numId w:val="15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La Unión Económica y Monetaria es un hito clave; desde el 1 de enero de 2002, el euro es utilizado por millones de ciudadanos.</w:t>
      </w:r>
    </w:p>
    <w:p w14:paraId="18C64877" w14:textId="77777777" w:rsidR="00844863" w:rsidRPr="0029320E" w:rsidRDefault="00844863" w:rsidP="0029320E">
      <w:pPr>
        <w:numPr>
          <w:ilvl w:val="1"/>
          <w:numId w:val="15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El Tratado de Maastricht (1992) estableció el principio de moneda única, logrado en un plazo de 10 años.</w:t>
      </w:r>
    </w:p>
    <w:p w14:paraId="09D6AEC3" w14:textId="77777777" w:rsidR="00844863" w:rsidRPr="0029320E" w:rsidRDefault="00844863" w:rsidP="0029320E">
      <w:pPr>
        <w:numPr>
          <w:ilvl w:val="1"/>
          <w:numId w:val="15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El Tratado de Lisboa (2007) reforzó el papel de la Comisión en la vigilancia económica y mejoró el gobierno económico, especialmente la política monetaria.</w:t>
      </w:r>
    </w:p>
    <w:p w14:paraId="0BFB24CB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1.2. Estructura de la Política</w:t>
      </w:r>
    </w:p>
    <w:p w14:paraId="3CBF2AD5" w14:textId="77777777" w:rsidR="00844863" w:rsidRPr="0029320E" w:rsidRDefault="00844863" w:rsidP="0029320E">
      <w:pPr>
        <w:numPr>
          <w:ilvl w:val="1"/>
          <w:numId w:val="15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Política Económica</w:t>
      </w:r>
      <w:r w:rsidRPr="0029320E">
        <w:rPr>
          <w:rFonts w:ascii="Cambria" w:hAnsi="Cambria"/>
        </w:rPr>
        <w:t>: Busca la convergencia de políticas nacionales hacia objetivos comunes.</w:t>
      </w:r>
    </w:p>
    <w:p w14:paraId="0CDAF1DE" w14:textId="77777777" w:rsidR="00844863" w:rsidRPr="0029320E" w:rsidRDefault="00844863" w:rsidP="0029320E">
      <w:pPr>
        <w:numPr>
          <w:ilvl w:val="1"/>
          <w:numId w:val="15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Política Monetaria</w:t>
      </w:r>
      <w:r w:rsidRPr="0029320E">
        <w:rPr>
          <w:rFonts w:ascii="Cambria" w:hAnsi="Cambria"/>
        </w:rPr>
        <w:t>: Común para todos los Estados miembros (objetivo de estabilidad de precios) y específica/exhaustiva para la Zona Euro.</w:t>
      </w:r>
    </w:p>
    <w:p w14:paraId="467D85E0" w14:textId="77777777" w:rsidR="00844863" w:rsidRPr="0029320E" w:rsidRDefault="00844863" w:rsidP="0029320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320E">
        <w:rPr>
          <w:rFonts w:ascii="Cambria" w:hAnsi="Cambria"/>
          <w:b/>
          <w:bCs/>
          <w:color w:val="auto"/>
          <w:sz w:val="28"/>
          <w:szCs w:val="28"/>
        </w:rPr>
        <w:t>2. ORÍGENES Y EVOLUCIÓN</w:t>
      </w:r>
    </w:p>
    <w:p w14:paraId="5885AD01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2.1. Antecedentes y Desarrollo</w:t>
      </w:r>
    </w:p>
    <w:p w14:paraId="1B4AD5E8" w14:textId="77777777" w:rsidR="00844863" w:rsidRPr="0029320E" w:rsidRDefault="00844863" w:rsidP="0029320E">
      <w:pPr>
        <w:numPr>
          <w:ilvl w:val="1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Informe Werner (1970): Propuso la convergencia de economías y tres condiciones (convertibilidad, integración financiera, tipos de cambio fijos).</w:t>
      </w:r>
    </w:p>
    <w:p w14:paraId="20FCF741" w14:textId="77777777" w:rsidR="00844863" w:rsidRPr="0029320E" w:rsidRDefault="00844863" w:rsidP="0029320E">
      <w:pPr>
        <w:numPr>
          <w:ilvl w:val="1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Sistema Monetario Europeo (SME, 1979): Creado para reducir variaciones de cambio (bandas de fluctuación). Debilitado por crisis y ataques especulativos.</w:t>
      </w:r>
    </w:p>
    <w:p w14:paraId="23A64784" w14:textId="77777777" w:rsidR="00844863" w:rsidRPr="0029320E" w:rsidRDefault="00844863" w:rsidP="0029320E">
      <w:pPr>
        <w:numPr>
          <w:ilvl w:val="1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Acta Única Europea (1986): La necesidad de estabilidad monetaria se impuso para garantizar el Mercado Único y evitar devaluaciones competitivas.</w:t>
      </w:r>
    </w:p>
    <w:p w14:paraId="3D1250B2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2.2. Fases de la UEM (Plan Delors)</w:t>
      </w:r>
    </w:p>
    <w:p w14:paraId="02AE89EB" w14:textId="77777777" w:rsidR="00844863" w:rsidRPr="0029320E" w:rsidRDefault="00844863" w:rsidP="0029320E">
      <w:pPr>
        <w:numPr>
          <w:ilvl w:val="1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Primera etapa (1990-1993): Culminación del Mercado Único, liberalización de capitales y programas de convergencia.</w:t>
      </w:r>
    </w:p>
    <w:p w14:paraId="7CEDBA42" w14:textId="77777777" w:rsidR="00844863" w:rsidRPr="0029320E" w:rsidRDefault="00844863" w:rsidP="0029320E">
      <w:pPr>
        <w:numPr>
          <w:ilvl w:val="1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Segunda etapa (1994-1998): Creación del Instituto Monetario Europeo (predecesor del BCE), independencia de bancos centrales y cumplimiento de los 5 criterios de convergencia (inflación, déficit, deuda, tipo de cambio, tipos de interés).</w:t>
      </w:r>
    </w:p>
    <w:p w14:paraId="470F7788" w14:textId="77777777" w:rsidR="00844863" w:rsidRPr="0029320E" w:rsidRDefault="00844863" w:rsidP="0029320E">
      <w:pPr>
        <w:numPr>
          <w:ilvl w:val="1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Tercera etapa (desde 1999):</w:t>
      </w:r>
    </w:p>
    <w:p w14:paraId="3769690F" w14:textId="77777777" w:rsidR="00844863" w:rsidRPr="0029320E" w:rsidRDefault="00844863" w:rsidP="0029320E">
      <w:pPr>
        <w:numPr>
          <w:ilvl w:val="2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lastRenderedPageBreak/>
        <w:t>Periodo transitorio (1999-2001): Fijación irrevocable de tipos de cambio y adopción del Pacto de Estabilidad y Crecimiento.</w:t>
      </w:r>
    </w:p>
    <w:p w14:paraId="61F03751" w14:textId="77777777" w:rsidR="00844863" w:rsidRPr="0029320E" w:rsidRDefault="00844863" w:rsidP="0029320E">
      <w:pPr>
        <w:numPr>
          <w:ilvl w:val="2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Periodo de culminación (desde 2002): Circulación física del euro y retirada de monedas nacionales.</w:t>
      </w:r>
    </w:p>
    <w:p w14:paraId="57871A95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2.3. Situación Actual</w:t>
      </w:r>
    </w:p>
    <w:p w14:paraId="75139F24" w14:textId="77777777" w:rsidR="00844863" w:rsidRPr="0029320E" w:rsidRDefault="00844863" w:rsidP="0029320E">
      <w:pPr>
        <w:numPr>
          <w:ilvl w:val="1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Actualmente, 20 de los 27 Estados miembros forman la Zona Euro.</w:t>
      </w:r>
    </w:p>
    <w:p w14:paraId="0CCD2031" w14:textId="5B4A5DFF" w:rsidR="00844863" w:rsidRPr="0029320E" w:rsidRDefault="00844863" w:rsidP="0029320E">
      <w:pPr>
        <w:numPr>
          <w:ilvl w:val="1"/>
          <w:numId w:val="16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Algunos países tienen exención temporal (no cumplen criterios) y otros (Dinamarca) tienen cláusula de exención voluntaria</w:t>
      </w:r>
      <w:r w:rsidR="006B59AE" w:rsidRPr="0029320E">
        <w:rPr>
          <w:rFonts w:ascii="Cambria" w:hAnsi="Cambria"/>
        </w:rPr>
        <w:t>.</w:t>
      </w:r>
    </w:p>
    <w:p w14:paraId="3458B1DF" w14:textId="77777777" w:rsidR="00844863" w:rsidRPr="0029320E" w:rsidRDefault="00844863" w:rsidP="0029320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320E">
        <w:rPr>
          <w:rFonts w:ascii="Cambria" w:hAnsi="Cambria"/>
          <w:b/>
          <w:bCs/>
          <w:color w:val="auto"/>
          <w:sz w:val="28"/>
          <w:szCs w:val="28"/>
        </w:rPr>
        <w:t>3. POLÍTICA ECONÓMICA</w:t>
      </w:r>
    </w:p>
    <w:p w14:paraId="49AC8915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3.1. Orientaciones Generales de las Políticas Económicas (OGPE)</w:t>
      </w:r>
    </w:p>
    <w:p w14:paraId="7B13D8FF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Recomendaciones del Consejo para coordinar políticas hacia un crecimiento inteligente, sostenible e integrador.</w:t>
      </w:r>
    </w:p>
    <w:p w14:paraId="43789DD5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El Tratado de Lisboa permite a la Comisión dirigir advertencias directas a los Estados miembros.</w:t>
      </w:r>
    </w:p>
    <w:p w14:paraId="054BBD23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Se centran en la viabilidad de finanzas públicas, equilibrio macroeconómico y reformas estructurales (I+D, energía, mercado laboral).</w:t>
      </w:r>
    </w:p>
    <w:p w14:paraId="45A3A980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3.2. Pacto de Estabilidad y Crecimiento (PEC)</w:t>
      </w:r>
    </w:p>
    <w:p w14:paraId="32AA7FC6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Normas para mantener finanzas saneadas, reforzadas con reformas en 2011 (Six-pack), 2013 (Two-pack) y 2024.</w:t>
      </w:r>
    </w:p>
    <w:p w14:paraId="51F49476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Vertiente preventiva</w:t>
      </w:r>
      <w:r w:rsidRPr="0029320E">
        <w:rPr>
          <w:rFonts w:ascii="Cambria" w:hAnsi="Cambria"/>
        </w:rPr>
        <w:t>: Programas de Estabilidad o Convergencia y Planes Fiscales Estructurales a medio plazo.</w:t>
      </w:r>
    </w:p>
    <w:p w14:paraId="2EF06249" w14:textId="611F060F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Vertiente correctora (Procedimiento de Déficit Excesivo)</w:t>
      </w:r>
      <w:r w:rsidRPr="0029320E">
        <w:rPr>
          <w:rFonts w:ascii="Cambria" w:hAnsi="Cambria"/>
        </w:rPr>
        <w:t>: Se activa por déficit superior al 3% del PIB o deuda superior al 60% sin reducción adecuada.</w:t>
      </w:r>
    </w:p>
    <w:p w14:paraId="56F7682E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Sanciones</w:t>
      </w:r>
      <w:r w:rsidRPr="0029320E">
        <w:rPr>
          <w:rFonts w:ascii="Cambria" w:hAnsi="Cambria"/>
        </w:rPr>
        <w:t>: Multas (0,2% - 0,5% del PIB) y suspensión de Fondos Estructurales para incumplidores.</w:t>
      </w:r>
    </w:p>
    <w:p w14:paraId="6C64887F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Cláusula de salvaguardia</w:t>
      </w:r>
      <w:r w:rsidRPr="0029320E">
        <w:rPr>
          <w:rFonts w:ascii="Cambria" w:hAnsi="Cambria"/>
        </w:rPr>
        <w:t>: Activada en 2020 por COVID-19 para permitir desviación temporal de objetivos; desactivación prevista a partir de 2023.</w:t>
      </w:r>
    </w:p>
    <w:p w14:paraId="67D55D88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3.3. Semestre Europeo</w:t>
      </w:r>
    </w:p>
    <w:p w14:paraId="7F720BBC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Ciclo anual (noviembre-julio) de coordinación de políticas económicas y presupuestarias.</w:t>
      </w:r>
    </w:p>
    <w:p w14:paraId="553929A0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lastRenderedPageBreak/>
        <w:t>Etapas clave</w:t>
      </w:r>
      <w:r w:rsidRPr="0029320E">
        <w:rPr>
          <w:rFonts w:ascii="Cambria" w:hAnsi="Cambria"/>
        </w:rPr>
        <w:t>: Estudio Prospectivo Anual (Comisión), debate en el Consejo/Parlamento, presentación de planes nacionales (abril) y adopción de Recomendaciones Específicas por País (junio/julio).</w:t>
      </w:r>
    </w:p>
    <w:p w14:paraId="0CFEC28F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3.4. Pacto por el Euro Plus</w:t>
      </w:r>
    </w:p>
    <w:p w14:paraId="247A9CDA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Programa complementario (2011) para reforzar la competitividad, el empleo, la sostenibilidad fiscal y la estabilidad financiera. Suscrito por la Zona Euro y otros países voluntarios.</w:t>
      </w:r>
    </w:p>
    <w:p w14:paraId="0EE013D1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3.5. Fortalecimiento del Sector Financiero</w:t>
      </w:r>
    </w:p>
    <w:p w14:paraId="4564EA61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Nuevo marco de supervisión (2011</w:t>
      </w:r>
      <w:r w:rsidRPr="0029320E">
        <w:rPr>
          <w:rFonts w:ascii="Cambria" w:hAnsi="Cambria"/>
        </w:rPr>
        <w:t>): Junta Europea de Riesgos Sistémicos y tres autoridades sectoriales (Banca, Seguros, Valores).</w:t>
      </w:r>
    </w:p>
    <w:p w14:paraId="4B806095" w14:textId="3652B856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Mecanismos de rescate</w:t>
      </w:r>
      <w:r w:rsidRPr="0029320E">
        <w:rPr>
          <w:rFonts w:ascii="Cambria" w:hAnsi="Cambria"/>
        </w:rPr>
        <w:t>: FEEF y MEEF sustituidos por el Mecanismo Europeo de Estabilidad (MEDE) con capacidad de 500.000 M€.</w:t>
      </w:r>
    </w:p>
    <w:p w14:paraId="170609B3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3.6. Marco Financiero Plurianual 2021-2027 y NextGenerationEU</w:t>
      </w:r>
    </w:p>
    <w:p w14:paraId="5DAEDC23" w14:textId="621B7F30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 xml:space="preserve">Presupuesto a largo plazo más instrumento de recuperación (1,8 </w:t>
      </w:r>
      <w:r w:rsidR="006B59AE" w:rsidRPr="0029320E">
        <w:rPr>
          <w:rFonts w:ascii="Cambria" w:hAnsi="Cambria"/>
        </w:rPr>
        <w:t>B€</w:t>
      </w:r>
      <w:r w:rsidRPr="0029320E">
        <w:rPr>
          <w:rFonts w:ascii="Cambria" w:hAnsi="Cambria"/>
        </w:rPr>
        <w:t>).</w:t>
      </w:r>
    </w:p>
    <w:p w14:paraId="184008D4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NextGenerationEU (750.000 M€): Centrado en recuperación verde, digital y resiliente.</w:t>
      </w:r>
    </w:p>
    <w:p w14:paraId="6B9F65E2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Mecanismo de Recuperación y Resiliencia: Elemento central que otorga préstamos y subvenciones a cambio de reformas e inversiones (mínimo 37% clima, 20% digital).</w:t>
      </w:r>
    </w:p>
    <w:p w14:paraId="5D148A22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3.7. Programa de Estabilidad de España (2024)</w:t>
      </w:r>
    </w:p>
    <w:p w14:paraId="78041E14" w14:textId="77777777" w:rsidR="00844863" w:rsidRPr="0029320E" w:rsidRDefault="00844863" w:rsidP="0029320E">
      <w:pPr>
        <w:numPr>
          <w:ilvl w:val="1"/>
          <w:numId w:val="17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Presenta un escenario macroeconómico avalado por la AIReF, considerado prudente y con avances en transparencia.</w:t>
      </w:r>
    </w:p>
    <w:p w14:paraId="5102DC67" w14:textId="77777777" w:rsidR="00844863" w:rsidRPr="0029320E" w:rsidRDefault="00844863" w:rsidP="0029320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320E">
        <w:rPr>
          <w:rFonts w:ascii="Cambria" w:hAnsi="Cambria"/>
          <w:b/>
          <w:bCs/>
          <w:color w:val="auto"/>
          <w:sz w:val="28"/>
          <w:szCs w:val="28"/>
        </w:rPr>
        <w:t>4. POLÍTICA MONETARIA</w:t>
      </w:r>
    </w:p>
    <w:p w14:paraId="75CE2E10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4.1. Marco Jurídico e Institucional</w:t>
      </w:r>
    </w:p>
    <w:p w14:paraId="01CA0311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Basada en el Art. 140 TFUE y Reglamentos de 1997/1998 sobre la introducción del euro.</w:t>
      </w:r>
    </w:p>
    <w:p w14:paraId="3DE46257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Adaptación en España: Ley 46/1998 (introducción euro) y Ley 10/1998.</w:t>
      </w:r>
    </w:p>
    <w:p w14:paraId="7D9D822A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Novedades Lisboa: BCE como institución oficial, codecisión del Parlamento en estatutos, reconocimiento del Eurogrupo y autonomía de voto para la Zona Euro en sus asuntos.</w:t>
      </w:r>
    </w:p>
    <w:p w14:paraId="1E977EF2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Instituciones: BCE, SEBC, Comité Económico y Financiero, Eurogrupo y Ecofin.</w:t>
      </w:r>
    </w:p>
    <w:p w14:paraId="34EDBCCB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lastRenderedPageBreak/>
        <w:t>4.2. Estrategia de Política Monetaria del BCE</w:t>
      </w:r>
    </w:p>
    <w:p w14:paraId="1F707809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Objetivo principal</w:t>
      </w:r>
      <w:r w:rsidRPr="0029320E">
        <w:rPr>
          <w:rFonts w:ascii="Cambria" w:hAnsi="Cambria"/>
        </w:rPr>
        <w:t>: Estabilidad de precios, redefinida en 2021 como una inflación simétrica del 2% a medio plazo (permite desviaciones transitorias).</w:t>
      </w:r>
    </w:p>
    <w:p w14:paraId="38B9C544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Pilares de análisis:</w:t>
      </w:r>
    </w:p>
    <w:p w14:paraId="49D18CEE" w14:textId="77777777" w:rsidR="00844863" w:rsidRPr="0029320E" w:rsidRDefault="00844863" w:rsidP="0029320E">
      <w:pPr>
        <w:numPr>
          <w:ilvl w:val="2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Análisis económico</w:t>
      </w:r>
      <w:r w:rsidRPr="0029320E">
        <w:rPr>
          <w:rFonts w:ascii="Cambria" w:hAnsi="Cambria"/>
        </w:rPr>
        <w:t>: Factores a corto/medio plazo (crecimiento, costes, política fiscal).</w:t>
      </w:r>
    </w:p>
    <w:p w14:paraId="07186E64" w14:textId="77777777" w:rsidR="00844863" w:rsidRPr="0029320E" w:rsidRDefault="00844863" w:rsidP="0029320E">
      <w:pPr>
        <w:numPr>
          <w:ilvl w:val="2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Análisis monetario</w:t>
      </w:r>
      <w:r w:rsidRPr="0029320E">
        <w:rPr>
          <w:rFonts w:ascii="Cambria" w:hAnsi="Cambria"/>
        </w:rPr>
        <w:t>: Vínculo a largo plazo dinero-precios (crédito, agregados monetarios).</w:t>
      </w:r>
    </w:p>
    <w:p w14:paraId="4F4FA355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Revisión estratégica: Incorpora consideraciones sobre cambio climático, digitalización y estabilidad financiera.</w:t>
      </w:r>
    </w:p>
    <w:p w14:paraId="3D39C5C7" w14:textId="522CB21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4.3. Banco Central Europeo y Órganos</w:t>
      </w:r>
    </w:p>
    <w:p w14:paraId="6C652B39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Consejo de Gobierno</w:t>
      </w:r>
      <w:r w:rsidRPr="0029320E">
        <w:rPr>
          <w:rFonts w:ascii="Cambria" w:hAnsi="Cambria"/>
        </w:rPr>
        <w:t>: Órgano decisorio supremo (Comité Ejecutivo + Gobernadores BC nacionales Zona Euro). Formula la política monetaria.</w:t>
      </w:r>
    </w:p>
    <w:p w14:paraId="003811F0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Comité Ejecutivo</w:t>
      </w:r>
      <w:r w:rsidRPr="0029320E">
        <w:rPr>
          <w:rFonts w:ascii="Cambria" w:hAnsi="Cambria"/>
        </w:rPr>
        <w:t>: Gestión ordinaria y puesta en práctica de la política (Presidente, Vicepresidente + 4 miembros).</w:t>
      </w:r>
    </w:p>
    <w:p w14:paraId="0214CAC8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Consejo General</w:t>
      </w:r>
      <w:r w:rsidRPr="0029320E">
        <w:rPr>
          <w:rFonts w:ascii="Cambria" w:hAnsi="Cambria"/>
        </w:rPr>
        <w:t>: Coordina con países fuera del euro y supervisa el mecanismo de tipos de cambio.</w:t>
      </w:r>
    </w:p>
    <w:p w14:paraId="72B3FCAC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Funciones del BCE</w:t>
      </w:r>
      <w:r w:rsidRPr="0029320E">
        <w:rPr>
          <w:rFonts w:ascii="Cambria" w:hAnsi="Cambria"/>
        </w:rPr>
        <w:t>: Autorizar emisión de billetes, supervisión prudencial (MUS), sistema de pagos (Target2) y recopilación estadística.</w:t>
      </w:r>
    </w:p>
    <w:p w14:paraId="7DF14C87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4.4. Unión Bancaria</w:t>
      </w:r>
    </w:p>
    <w:p w14:paraId="2D11D35A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Objetivo</w:t>
      </w:r>
      <w:r w:rsidRPr="0029320E">
        <w:rPr>
          <w:rFonts w:ascii="Cambria" w:hAnsi="Cambria"/>
        </w:rPr>
        <w:t>: Supervisión estricta y gestión de crisis bancarias con coste mínimo para el contribuyente.</w:t>
      </w:r>
    </w:p>
    <w:p w14:paraId="1FE5E45C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Pilares:</w:t>
      </w:r>
    </w:p>
    <w:p w14:paraId="51766DE5" w14:textId="77777777" w:rsidR="00844863" w:rsidRPr="0029320E" w:rsidRDefault="00844863" w:rsidP="0029320E">
      <w:pPr>
        <w:numPr>
          <w:ilvl w:val="2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Mecanismo Único de Supervisión (MUS)</w:t>
      </w:r>
      <w:r w:rsidRPr="0029320E">
        <w:rPr>
          <w:rFonts w:ascii="Cambria" w:hAnsi="Cambria"/>
        </w:rPr>
        <w:t>: BCE supervisa bancos significativos.</w:t>
      </w:r>
    </w:p>
    <w:p w14:paraId="4762C72D" w14:textId="77777777" w:rsidR="00844863" w:rsidRPr="0029320E" w:rsidRDefault="00844863" w:rsidP="0029320E">
      <w:pPr>
        <w:numPr>
          <w:ilvl w:val="2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Mecanismo Único de Resolución (MUR)</w:t>
      </w:r>
      <w:r w:rsidRPr="0029320E">
        <w:rPr>
          <w:rFonts w:ascii="Cambria" w:hAnsi="Cambria"/>
        </w:rPr>
        <w:t>: Junta Única de Resolución (JUR) gestiona quiebras ordenadas.</w:t>
      </w:r>
    </w:p>
    <w:p w14:paraId="337FF326" w14:textId="77777777" w:rsidR="00844863" w:rsidRPr="0029320E" w:rsidRDefault="00844863" w:rsidP="0029320E">
      <w:pPr>
        <w:numPr>
          <w:ilvl w:val="2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  <w:u w:val="single"/>
        </w:rPr>
        <w:t>Fondo Único de Resolución (FUR)</w:t>
      </w:r>
      <w:r w:rsidRPr="0029320E">
        <w:rPr>
          <w:rFonts w:ascii="Cambria" w:hAnsi="Cambria"/>
        </w:rPr>
        <w:t>: Financiado por los bancos (objetivo 55.000 M€).</w:t>
      </w:r>
    </w:p>
    <w:p w14:paraId="4E9FBE90" w14:textId="77777777" w:rsidR="00844863" w:rsidRPr="0029320E" w:rsidRDefault="00844863" w:rsidP="0029320E">
      <w:pPr>
        <w:numPr>
          <w:ilvl w:val="1"/>
          <w:numId w:val="18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Normativa adicional: Directiva de Reestructuración (DRRB), Requisitos de Capital (Basilea III) y propuesta de Sistema Europeo de Garantía de Depósitos (SEGD).</w:t>
      </w:r>
    </w:p>
    <w:p w14:paraId="615E7845" w14:textId="77777777" w:rsidR="00844863" w:rsidRPr="0029320E" w:rsidRDefault="00844863" w:rsidP="0029320E">
      <w:pPr>
        <w:pStyle w:val="Ttulo1"/>
        <w:jc w:val="both"/>
        <w:rPr>
          <w:rFonts w:ascii="Cambria" w:hAnsi="Cambria"/>
          <w:b/>
          <w:bCs/>
          <w:color w:val="auto"/>
          <w:sz w:val="28"/>
          <w:szCs w:val="28"/>
        </w:rPr>
      </w:pPr>
      <w:r w:rsidRPr="0029320E">
        <w:rPr>
          <w:rFonts w:ascii="Cambria" w:hAnsi="Cambria"/>
          <w:b/>
          <w:bCs/>
          <w:color w:val="auto"/>
          <w:sz w:val="28"/>
          <w:szCs w:val="28"/>
        </w:rPr>
        <w:lastRenderedPageBreak/>
        <w:t>5. CONCLUSIÓN</w:t>
      </w:r>
    </w:p>
    <w:p w14:paraId="0038E6BB" w14:textId="77777777" w:rsidR="00844863" w:rsidRPr="0029320E" w:rsidRDefault="00844863" w:rsidP="0029320E">
      <w:pPr>
        <w:pStyle w:val="Ttulo2"/>
        <w:jc w:val="both"/>
        <w:rPr>
          <w:rFonts w:ascii="Cambria" w:hAnsi="Cambria"/>
          <w:b/>
          <w:bCs/>
          <w:color w:val="auto"/>
          <w:sz w:val="24"/>
          <w:szCs w:val="24"/>
        </w:rPr>
      </w:pPr>
      <w:r w:rsidRPr="0029320E">
        <w:rPr>
          <w:rFonts w:ascii="Cambria" w:hAnsi="Cambria"/>
          <w:b/>
          <w:bCs/>
          <w:color w:val="auto"/>
          <w:sz w:val="24"/>
          <w:szCs w:val="24"/>
        </w:rPr>
        <w:t>5.1. Impacto y Futuro</w:t>
      </w:r>
    </w:p>
    <w:p w14:paraId="21F84A7C" w14:textId="77777777" w:rsidR="00844863" w:rsidRPr="0029320E" w:rsidRDefault="00844863" w:rsidP="0029320E">
      <w:pPr>
        <w:numPr>
          <w:ilvl w:val="1"/>
          <w:numId w:val="19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El euro ha aportado estabilidad, es la segunda moneda de reserva mundial y ha facilitado la comparación de precios.</w:t>
      </w:r>
    </w:p>
    <w:p w14:paraId="4D4E3384" w14:textId="77777777" w:rsidR="00844863" w:rsidRPr="0029320E" w:rsidRDefault="00844863" w:rsidP="0029320E">
      <w:pPr>
        <w:numPr>
          <w:ilvl w:val="1"/>
          <w:numId w:val="19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La UEM no está completa; se avanza hacia una "Unión Económica y Monetaria profunda y auténtica".</w:t>
      </w:r>
    </w:p>
    <w:p w14:paraId="4C1B2738" w14:textId="77777777" w:rsidR="00844863" w:rsidRPr="0029320E" w:rsidRDefault="00844863" w:rsidP="0029320E">
      <w:pPr>
        <w:numPr>
          <w:ilvl w:val="1"/>
          <w:numId w:val="19"/>
        </w:numPr>
        <w:jc w:val="both"/>
        <w:rPr>
          <w:rFonts w:ascii="Cambria" w:hAnsi="Cambria"/>
        </w:rPr>
      </w:pPr>
      <w:r w:rsidRPr="0029320E">
        <w:rPr>
          <w:rFonts w:ascii="Cambria" w:hAnsi="Cambria"/>
        </w:rPr>
        <w:t>Propuestas de futuro: Completar la Unión Bancaria, profundizar la Unión Económica y Fiscal, y reforzar la legitimidad democrática (Unión Política).</w:t>
      </w:r>
    </w:p>
    <w:p w14:paraId="0F9BCE12" w14:textId="77777777" w:rsidR="00A65383" w:rsidRPr="0029320E" w:rsidRDefault="00A65383" w:rsidP="0029320E">
      <w:pPr>
        <w:jc w:val="both"/>
        <w:rPr>
          <w:rFonts w:ascii="Cambria" w:hAnsi="Cambria"/>
        </w:rPr>
      </w:pPr>
    </w:p>
    <w:sectPr w:rsidR="00A65383" w:rsidRPr="0029320E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2FA1C" w14:textId="77777777" w:rsidR="00C84E7F" w:rsidRDefault="00C84E7F" w:rsidP="00C84E7F">
      <w:pPr>
        <w:spacing w:after="0" w:line="240" w:lineRule="auto"/>
      </w:pPr>
      <w:r>
        <w:separator/>
      </w:r>
    </w:p>
  </w:endnote>
  <w:endnote w:type="continuationSeparator" w:id="0">
    <w:p w14:paraId="2113B310" w14:textId="77777777" w:rsidR="00C84E7F" w:rsidRDefault="00C84E7F" w:rsidP="00C84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DF5BB" w14:textId="77777777" w:rsidR="00C84E7F" w:rsidRDefault="00C84E7F" w:rsidP="00C84E7F">
      <w:pPr>
        <w:spacing w:after="0" w:line="240" w:lineRule="auto"/>
      </w:pPr>
      <w:r>
        <w:separator/>
      </w:r>
    </w:p>
  </w:footnote>
  <w:footnote w:type="continuationSeparator" w:id="0">
    <w:p w14:paraId="5ECBFE6F" w14:textId="77777777" w:rsidR="00C84E7F" w:rsidRDefault="00C84E7F" w:rsidP="00C84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DCF12" w14:textId="7ABF3912" w:rsidR="00C84E7F" w:rsidRPr="00C84E7F" w:rsidRDefault="00C84E7F" w:rsidP="00C84E7F">
    <w:pPr>
      <w:pStyle w:val="Encabezado"/>
      <w:jc w:val="both"/>
      <w:rPr>
        <w:rFonts w:ascii="Palatino Linotype" w:hAnsi="Palatino Linotype"/>
        <w:i/>
        <w:iCs/>
      </w:rPr>
    </w:pPr>
    <w:r w:rsidRPr="00C84E7F">
      <w:rPr>
        <w:rFonts w:ascii="Palatino Linotype" w:hAnsi="Palatino Linotype"/>
        <w:b/>
        <w:bCs/>
        <w:i/>
        <w:iCs/>
      </w:rPr>
      <w:t>TEMA 49 -</w:t>
    </w:r>
    <w:r w:rsidRPr="00C84E7F">
      <w:rPr>
        <w:rFonts w:ascii="Palatino Linotype" w:hAnsi="Palatino Linotype"/>
        <w:i/>
        <w:iCs/>
      </w:rPr>
      <w:t xml:space="preserve"> Política económica y monetaria de la Unión Europea.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5368A"/>
    <w:multiLevelType w:val="multilevel"/>
    <w:tmpl w:val="0290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2A15"/>
    <w:multiLevelType w:val="multilevel"/>
    <w:tmpl w:val="2D3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04551"/>
    <w:multiLevelType w:val="multilevel"/>
    <w:tmpl w:val="E410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B00FB"/>
    <w:multiLevelType w:val="multilevel"/>
    <w:tmpl w:val="98FC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579FB"/>
    <w:multiLevelType w:val="multilevel"/>
    <w:tmpl w:val="EDB6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B42BA"/>
    <w:multiLevelType w:val="multilevel"/>
    <w:tmpl w:val="22F0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90366"/>
    <w:multiLevelType w:val="multilevel"/>
    <w:tmpl w:val="2BCA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285F12"/>
    <w:multiLevelType w:val="multilevel"/>
    <w:tmpl w:val="ED0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427EA"/>
    <w:multiLevelType w:val="multilevel"/>
    <w:tmpl w:val="F350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3099E"/>
    <w:multiLevelType w:val="multilevel"/>
    <w:tmpl w:val="5580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012426"/>
    <w:multiLevelType w:val="multilevel"/>
    <w:tmpl w:val="EDFE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366BD0"/>
    <w:multiLevelType w:val="multilevel"/>
    <w:tmpl w:val="D4FA2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C3605"/>
    <w:multiLevelType w:val="multilevel"/>
    <w:tmpl w:val="191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26F0C"/>
    <w:multiLevelType w:val="multilevel"/>
    <w:tmpl w:val="CC6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54964"/>
    <w:multiLevelType w:val="multilevel"/>
    <w:tmpl w:val="942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EB487E"/>
    <w:multiLevelType w:val="multilevel"/>
    <w:tmpl w:val="BF248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294105"/>
    <w:multiLevelType w:val="multilevel"/>
    <w:tmpl w:val="3BE6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CA6E80"/>
    <w:multiLevelType w:val="multilevel"/>
    <w:tmpl w:val="E3B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CC3C27"/>
    <w:multiLevelType w:val="multilevel"/>
    <w:tmpl w:val="DE7E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94954">
    <w:abstractNumId w:val="15"/>
  </w:num>
  <w:num w:numId="2" w16cid:durableId="1509249709">
    <w:abstractNumId w:val="10"/>
  </w:num>
  <w:num w:numId="3" w16cid:durableId="397896248">
    <w:abstractNumId w:val="1"/>
  </w:num>
  <w:num w:numId="4" w16cid:durableId="471288533">
    <w:abstractNumId w:val="9"/>
  </w:num>
  <w:num w:numId="5" w16cid:durableId="1155948910">
    <w:abstractNumId w:val="2"/>
  </w:num>
  <w:num w:numId="6" w16cid:durableId="450322837">
    <w:abstractNumId w:val="18"/>
  </w:num>
  <w:num w:numId="7" w16cid:durableId="1832284177">
    <w:abstractNumId w:val="11"/>
  </w:num>
  <w:num w:numId="8" w16cid:durableId="140005634">
    <w:abstractNumId w:val="8"/>
  </w:num>
  <w:num w:numId="9" w16cid:durableId="612174224">
    <w:abstractNumId w:val="13"/>
  </w:num>
  <w:num w:numId="10" w16cid:durableId="799691774">
    <w:abstractNumId w:val="16"/>
  </w:num>
  <w:num w:numId="11" w16cid:durableId="75909495">
    <w:abstractNumId w:val="3"/>
  </w:num>
  <w:num w:numId="12" w16cid:durableId="865143684">
    <w:abstractNumId w:val="6"/>
  </w:num>
  <w:num w:numId="13" w16cid:durableId="1921211638">
    <w:abstractNumId w:val="14"/>
  </w:num>
  <w:num w:numId="14" w16cid:durableId="1836458664">
    <w:abstractNumId w:val="7"/>
  </w:num>
  <w:num w:numId="15" w16cid:durableId="733741298">
    <w:abstractNumId w:val="12"/>
  </w:num>
  <w:num w:numId="16" w16cid:durableId="916597245">
    <w:abstractNumId w:val="17"/>
  </w:num>
  <w:num w:numId="17" w16cid:durableId="1011301976">
    <w:abstractNumId w:val="4"/>
  </w:num>
  <w:num w:numId="18" w16cid:durableId="977033839">
    <w:abstractNumId w:val="0"/>
  </w:num>
  <w:num w:numId="19" w16cid:durableId="5517708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E7F"/>
    <w:rsid w:val="00106D8F"/>
    <w:rsid w:val="00117873"/>
    <w:rsid w:val="0029320E"/>
    <w:rsid w:val="0051403E"/>
    <w:rsid w:val="00531B8A"/>
    <w:rsid w:val="005803BC"/>
    <w:rsid w:val="006B59AE"/>
    <w:rsid w:val="00844863"/>
    <w:rsid w:val="009E6FF8"/>
    <w:rsid w:val="00A65383"/>
    <w:rsid w:val="00A8675C"/>
    <w:rsid w:val="00C12CFD"/>
    <w:rsid w:val="00C8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DA80C"/>
  <w15:chartTrackingRefBased/>
  <w15:docId w15:val="{31585119-B1A4-4867-8489-58871D6DF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4E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4E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8675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C84E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4E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4E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4E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4E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4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4E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4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4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4E7F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C84E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4E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4E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4E7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4E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4E7F"/>
  </w:style>
  <w:style w:type="paragraph" w:styleId="Piedepgina">
    <w:name w:val="footer"/>
    <w:basedOn w:val="Normal"/>
    <w:link w:val="PiedepginaCar"/>
    <w:uiPriority w:val="99"/>
    <w:unhideWhenUsed/>
    <w:rsid w:val="00C84E7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4E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1061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Argudo Santiago, Sergio</dc:creator>
  <cp:keywords/>
  <dc:description/>
  <cp:lastModifiedBy>Argudo Santiago, Sergio</cp:lastModifiedBy>
  <cp:revision>5</cp:revision>
  <dcterms:created xsi:type="dcterms:W3CDTF">2025-12-10T08:22:00Z</dcterms:created>
  <dcterms:modified xsi:type="dcterms:W3CDTF">2026-01-14T14:33:00Z</dcterms:modified>
</cp:coreProperties>
</file>