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022F" w14:textId="77777777" w:rsidR="0088239D" w:rsidRPr="00A66BE7" w:rsidRDefault="0088239D" w:rsidP="0088239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66BE7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1B4D8A3C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1.1. Concepto y Evolución Histórica</w:t>
      </w:r>
    </w:p>
    <w:p w14:paraId="08BCEC61" w14:textId="77777777" w:rsidR="0088239D" w:rsidRPr="00A66BE7" w:rsidRDefault="0088239D" w:rsidP="0088239D">
      <w:pPr>
        <w:numPr>
          <w:ilvl w:val="1"/>
          <w:numId w:val="32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La Política Industrial ha evolucionado desde el proteccionismo y el enfoque vertical de los años 60, 70 y 80 (intervención directa en sectores en crisis como siderurgia, naval y textil) hacia un enfoque horizontal a partir de los años 90.</w:t>
      </w:r>
    </w:p>
    <w:p w14:paraId="52C4EAC7" w14:textId="77777777" w:rsidR="0088239D" w:rsidRPr="00A66BE7" w:rsidRDefault="0088239D" w:rsidP="0088239D">
      <w:pPr>
        <w:numPr>
          <w:ilvl w:val="1"/>
          <w:numId w:val="32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El enfoque actual busca aumentar la competitividad del tejido industrial mediante la liberalización de mercados y la creación de condiciones marco favorables.</w:t>
      </w:r>
    </w:p>
    <w:p w14:paraId="676FAE34" w14:textId="39BF1510" w:rsidR="0088239D" w:rsidRPr="00A66BE7" w:rsidRDefault="0088239D" w:rsidP="0088239D">
      <w:pPr>
        <w:numPr>
          <w:ilvl w:val="1"/>
          <w:numId w:val="32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El fundamento jurídico se encuentra en el Artículo 173 del TFUE</w:t>
      </w:r>
      <w:r w:rsidR="00A66BE7">
        <w:rPr>
          <w:rFonts w:ascii="Cambria" w:hAnsi="Cambria"/>
        </w:rPr>
        <w:t>.</w:t>
      </w:r>
    </w:p>
    <w:p w14:paraId="427AFFE5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1.2. Estrategias Industriales Recientes</w:t>
      </w:r>
    </w:p>
    <w:p w14:paraId="03B7C977" w14:textId="6ED0BF04" w:rsidR="0088239D" w:rsidRPr="00A66BE7" w:rsidRDefault="0088239D" w:rsidP="0088239D">
      <w:pPr>
        <w:numPr>
          <w:ilvl w:val="1"/>
          <w:numId w:val="32"/>
        </w:numPr>
        <w:jc w:val="both"/>
        <w:rPr>
          <w:rFonts w:ascii="Cambria" w:hAnsi="Cambria"/>
        </w:rPr>
      </w:pPr>
      <w:r w:rsidRPr="00A66BE7">
        <w:rPr>
          <w:rFonts w:ascii="Cambria" w:hAnsi="Cambria"/>
          <w:b/>
          <w:bCs/>
        </w:rPr>
        <w:t>Estrategia 2014 (Renacimiento industrial):</w:t>
      </w:r>
      <w:r w:rsidRPr="00A66BE7">
        <w:rPr>
          <w:rFonts w:ascii="Cambria" w:hAnsi="Cambria"/>
        </w:rPr>
        <w:t xml:space="preserve"> Objetivo de que la industria manufacturera representara el 20% del PIB para 2020.</w:t>
      </w:r>
    </w:p>
    <w:p w14:paraId="3CB88278" w14:textId="13D8093B" w:rsidR="0088239D" w:rsidRPr="00A66BE7" w:rsidRDefault="0088239D" w:rsidP="0088239D">
      <w:pPr>
        <w:numPr>
          <w:ilvl w:val="1"/>
          <w:numId w:val="32"/>
        </w:numPr>
        <w:jc w:val="both"/>
        <w:rPr>
          <w:rFonts w:ascii="Cambria" w:hAnsi="Cambria"/>
        </w:rPr>
      </w:pPr>
      <w:r w:rsidRPr="00A66BE7">
        <w:rPr>
          <w:rFonts w:ascii="Cambria" w:hAnsi="Cambria"/>
          <w:b/>
          <w:bCs/>
        </w:rPr>
        <w:t>Estrategia 2016 (Digitalización):</w:t>
      </w:r>
      <w:r w:rsidRPr="00A66BE7">
        <w:rPr>
          <w:rFonts w:ascii="Cambria" w:hAnsi="Cambria"/>
        </w:rPr>
        <w:t xml:space="preserve"> Foco en la transición digital, financiación, normalización TIC y competencias.</w:t>
      </w:r>
    </w:p>
    <w:p w14:paraId="0D71FDD4" w14:textId="77777777" w:rsidR="0088239D" w:rsidRPr="00A66BE7" w:rsidRDefault="0088239D" w:rsidP="0088239D">
      <w:pPr>
        <w:numPr>
          <w:ilvl w:val="1"/>
          <w:numId w:val="32"/>
        </w:numPr>
        <w:jc w:val="both"/>
        <w:rPr>
          <w:rFonts w:ascii="Cambria" w:hAnsi="Cambria"/>
        </w:rPr>
      </w:pPr>
      <w:r w:rsidRPr="00A66BE7">
        <w:rPr>
          <w:rFonts w:ascii="Cambria" w:hAnsi="Cambria"/>
          <w:b/>
          <w:bCs/>
        </w:rPr>
        <w:t>Estrategia 2020 (Nueva Estrategia Industrial):</w:t>
      </w:r>
      <w:r w:rsidRPr="00A66BE7">
        <w:rPr>
          <w:rFonts w:ascii="Cambria" w:hAnsi="Cambria"/>
        </w:rPr>
        <w:t xml:space="preserve"> Liderar la doble transición (climática y digital) y reforzar la competitividad y autonomía estratégica.</w:t>
      </w:r>
    </w:p>
    <w:p w14:paraId="69236563" w14:textId="77777777" w:rsidR="0088239D" w:rsidRPr="00A66BE7" w:rsidRDefault="0088239D" w:rsidP="0088239D">
      <w:pPr>
        <w:numPr>
          <w:ilvl w:val="1"/>
          <w:numId w:val="32"/>
        </w:numPr>
        <w:jc w:val="both"/>
        <w:rPr>
          <w:rFonts w:ascii="Cambria" w:hAnsi="Cambria"/>
        </w:rPr>
      </w:pPr>
      <w:r w:rsidRPr="00A66BE7">
        <w:rPr>
          <w:rFonts w:ascii="Cambria" w:hAnsi="Cambria"/>
          <w:b/>
          <w:bCs/>
        </w:rPr>
        <w:t>Actualización 2021 (Post-COVID):</w:t>
      </w:r>
      <w:r w:rsidRPr="00A66BE7">
        <w:rPr>
          <w:rFonts w:ascii="Cambria" w:hAnsi="Cambria"/>
        </w:rPr>
        <w:t xml:space="preserve"> Refuerzo de la resiliencia del Mercado Único (instrumento de emergencia), reducción de dependencias estratégicas (materias primas, baterías, semiconductores) y aceleración de las transiciones gemelas mediante vías de transición y proyectos multinacionales.</w:t>
      </w:r>
    </w:p>
    <w:p w14:paraId="0DF569B9" w14:textId="39B9A5EC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1.3. Mecanismo «Conectar Europa»</w:t>
      </w:r>
    </w:p>
    <w:p w14:paraId="1AE5A11F" w14:textId="77777777" w:rsidR="0088239D" w:rsidRPr="00A66BE7" w:rsidRDefault="0088239D" w:rsidP="0088239D">
      <w:pPr>
        <w:numPr>
          <w:ilvl w:val="1"/>
          <w:numId w:val="32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Instrumento financiero (presupuesto 2021-2027 de 42.300 M€) para apoyar infraestructuras de alto rendimiento en transporte, energía y economía digital.</w:t>
      </w:r>
    </w:p>
    <w:p w14:paraId="7662DD9A" w14:textId="77777777" w:rsidR="0088239D" w:rsidRPr="00A66BE7" w:rsidRDefault="0088239D" w:rsidP="0088239D">
      <w:pPr>
        <w:numPr>
          <w:ilvl w:val="1"/>
          <w:numId w:val="32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Busca la integración de redes transeuropeas, destinando el 60% del presupuesto a objetivos climáticos.</w:t>
      </w:r>
    </w:p>
    <w:p w14:paraId="49DC57C1" w14:textId="30DCE2A3" w:rsidR="0088239D" w:rsidRPr="00A66BE7" w:rsidRDefault="0088239D" w:rsidP="0088239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66BE7">
        <w:rPr>
          <w:rFonts w:ascii="Cambria" w:hAnsi="Cambria"/>
          <w:b/>
          <w:bCs/>
          <w:color w:val="auto"/>
          <w:sz w:val="28"/>
          <w:szCs w:val="28"/>
        </w:rPr>
        <w:t xml:space="preserve">2. LA POLÍTICA DE INVESTIGACIÓN Y DESARROLLO TECNOLÓGICO </w:t>
      </w:r>
    </w:p>
    <w:p w14:paraId="251F55DD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2.1. Marco General y Objetivos</w:t>
      </w:r>
    </w:p>
    <w:p w14:paraId="3E2DD574" w14:textId="77777777" w:rsidR="0088239D" w:rsidRPr="00A66BE7" w:rsidRDefault="0088239D" w:rsidP="0088239D">
      <w:pPr>
        <w:numPr>
          <w:ilvl w:val="1"/>
          <w:numId w:val="33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Fundamento en los Artículos 179 a 189 del TFUE, con origen en la CECA y EURATOM.</w:t>
      </w:r>
    </w:p>
    <w:p w14:paraId="7F6298A1" w14:textId="77777777" w:rsidR="0088239D" w:rsidRPr="00A66BE7" w:rsidRDefault="0088239D" w:rsidP="0088239D">
      <w:pPr>
        <w:numPr>
          <w:ilvl w:val="1"/>
          <w:numId w:val="33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lastRenderedPageBreak/>
        <w:t>Objetivo: Fortalecer las bases científicas y tecnológicas de la industria y favorecer su competitividad internacional.</w:t>
      </w:r>
    </w:p>
    <w:p w14:paraId="0486625C" w14:textId="77777777" w:rsidR="0088239D" w:rsidRPr="00A66BE7" w:rsidRDefault="0088239D" w:rsidP="0088239D">
      <w:pPr>
        <w:numPr>
          <w:ilvl w:val="1"/>
          <w:numId w:val="33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Instrumento principal: Programas Marco plurianuales, ejecutados mediante acciones directas (Centro Común de Investigación - JRC) e indirectas (proyectos de colaboración, redes de excelencia).</w:t>
      </w:r>
    </w:p>
    <w:p w14:paraId="32781F4A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2.2. Evolución de los Programas Marco</w:t>
      </w:r>
    </w:p>
    <w:p w14:paraId="455538BE" w14:textId="77777777" w:rsidR="0088239D" w:rsidRPr="00A66BE7" w:rsidRDefault="0088239D" w:rsidP="0088239D">
      <w:pPr>
        <w:numPr>
          <w:ilvl w:val="1"/>
          <w:numId w:val="33"/>
        </w:numPr>
        <w:jc w:val="both"/>
        <w:rPr>
          <w:rFonts w:ascii="Cambria" w:hAnsi="Cambria"/>
        </w:rPr>
      </w:pPr>
      <w:r w:rsidRPr="00A66BE7">
        <w:rPr>
          <w:rFonts w:ascii="Cambria" w:hAnsi="Cambria"/>
          <w:b/>
          <w:bCs/>
        </w:rPr>
        <w:t>7º Programa Marco (2007-2013):</w:t>
      </w:r>
      <w:r w:rsidRPr="00A66BE7">
        <w:rPr>
          <w:rFonts w:ascii="Cambria" w:hAnsi="Cambria"/>
        </w:rPr>
        <w:t xml:space="preserve"> Organizado en cuatro ejes (Cooperación, Ideas/Consejo Europeo de Investigación, Personas/Acciones Marie Curie, Capacidades).</w:t>
      </w:r>
    </w:p>
    <w:p w14:paraId="716EA936" w14:textId="77777777" w:rsidR="0088239D" w:rsidRPr="00A66BE7" w:rsidRDefault="0088239D" w:rsidP="0088239D">
      <w:pPr>
        <w:numPr>
          <w:ilvl w:val="1"/>
          <w:numId w:val="33"/>
        </w:numPr>
        <w:jc w:val="both"/>
        <w:rPr>
          <w:rFonts w:ascii="Cambria" w:hAnsi="Cambria"/>
        </w:rPr>
      </w:pPr>
      <w:r w:rsidRPr="00A66BE7">
        <w:rPr>
          <w:rFonts w:ascii="Cambria" w:hAnsi="Cambria"/>
          <w:b/>
          <w:bCs/>
        </w:rPr>
        <w:t>Horizonte 2020 (2014-2020):</w:t>
      </w:r>
      <w:r w:rsidRPr="00A66BE7">
        <w:rPr>
          <w:rFonts w:ascii="Cambria" w:hAnsi="Cambria"/>
        </w:rPr>
        <w:t xml:space="preserve"> Integró la financiación de investigación e innovación en tres pilares: Ciencia excelente, Liderazgo industrial (apoyo a tecnologías clave y PYMES) y Retos de la sociedad (salud, energía, clima, transporte).</w:t>
      </w:r>
    </w:p>
    <w:p w14:paraId="3D5E74CD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2.3. Horizonte Europa (2021-2027)</w:t>
      </w:r>
    </w:p>
    <w:p w14:paraId="6BB3C3CC" w14:textId="77777777" w:rsidR="0088239D" w:rsidRPr="00A66BE7" w:rsidRDefault="0088239D" w:rsidP="0088239D">
      <w:pPr>
        <w:numPr>
          <w:ilvl w:val="1"/>
          <w:numId w:val="33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 xml:space="preserve">Presupuesto de aproximadamente 95.500 M€ (ajustado posteriormente), incluyendo fondos de Next </w:t>
      </w:r>
      <w:proofErr w:type="spellStart"/>
      <w:r w:rsidRPr="00A66BE7">
        <w:rPr>
          <w:rFonts w:ascii="Cambria" w:hAnsi="Cambria"/>
        </w:rPr>
        <w:t>Generation</w:t>
      </w:r>
      <w:proofErr w:type="spellEnd"/>
      <w:r w:rsidRPr="00A66BE7">
        <w:rPr>
          <w:rFonts w:ascii="Cambria" w:hAnsi="Cambria"/>
        </w:rPr>
        <w:t xml:space="preserve"> EU.</w:t>
      </w:r>
    </w:p>
    <w:p w14:paraId="6A6B5574" w14:textId="77777777" w:rsidR="0088239D" w:rsidRPr="00A66BE7" w:rsidRDefault="0088239D" w:rsidP="0088239D">
      <w:pPr>
        <w:numPr>
          <w:ilvl w:val="1"/>
          <w:numId w:val="33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Estructura en tres pilares:</w:t>
      </w:r>
    </w:p>
    <w:p w14:paraId="32BA3628" w14:textId="77777777" w:rsidR="0088239D" w:rsidRPr="00A66BE7" w:rsidRDefault="0088239D" w:rsidP="0088239D">
      <w:pPr>
        <w:numPr>
          <w:ilvl w:val="2"/>
          <w:numId w:val="33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Ciencia abierta (ERC, Acciones Marie Sklodowska-Curie, infraestructuras).</w:t>
      </w:r>
    </w:p>
    <w:p w14:paraId="2CBC6F67" w14:textId="77777777" w:rsidR="0088239D" w:rsidRPr="00A66BE7" w:rsidRDefault="0088239D" w:rsidP="0088239D">
      <w:pPr>
        <w:numPr>
          <w:ilvl w:val="2"/>
          <w:numId w:val="33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Desafíos mundiales y competitividad industrial (salud, clima, digital, asociaciones europeas, JRC).</w:t>
      </w:r>
    </w:p>
    <w:p w14:paraId="540A9836" w14:textId="77777777" w:rsidR="0088239D" w:rsidRPr="00A66BE7" w:rsidRDefault="0088239D" w:rsidP="0088239D">
      <w:pPr>
        <w:numPr>
          <w:ilvl w:val="2"/>
          <w:numId w:val="33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Innovación abierta (Consejo Europeo de Innovación, EIT, ecosistemas de innovación).</w:t>
      </w:r>
    </w:p>
    <w:p w14:paraId="357E28A2" w14:textId="77777777" w:rsidR="0088239D" w:rsidRPr="00A66BE7" w:rsidRDefault="0088239D" w:rsidP="0088239D">
      <w:pPr>
        <w:numPr>
          <w:ilvl w:val="1"/>
          <w:numId w:val="33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Programa transversal para ampliar la participación y fortalecer el Espacio Europeo de Investigación (ERA).</w:t>
      </w:r>
    </w:p>
    <w:p w14:paraId="43E9A099" w14:textId="77777777" w:rsidR="0088239D" w:rsidRPr="00A66BE7" w:rsidRDefault="0088239D" w:rsidP="0088239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66BE7">
        <w:rPr>
          <w:rFonts w:ascii="Cambria" w:hAnsi="Cambria"/>
          <w:b/>
          <w:bCs/>
          <w:color w:val="auto"/>
          <w:sz w:val="28"/>
          <w:szCs w:val="28"/>
        </w:rPr>
        <w:t>3. LA POLÍTICA DE INNOVACIÓN</w:t>
      </w:r>
    </w:p>
    <w:p w14:paraId="74C2EDF0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3.1. Concepto y Estrategia</w:t>
      </w:r>
    </w:p>
    <w:p w14:paraId="752F00A7" w14:textId="77777777" w:rsidR="0088239D" w:rsidRPr="00A66BE7" w:rsidRDefault="0088239D" w:rsidP="0088239D">
      <w:pPr>
        <w:numPr>
          <w:ilvl w:val="1"/>
          <w:numId w:val="34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Actúa como interfaz entre la investigación y la política industrial para llevar ideas al mercado.</w:t>
      </w:r>
    </w:p>
    <w:p w14:paraId="2738F93C" w14:textId="77777777" w:rsidR="0088239D" w:rsidRPr="00A66BE7" w:rsidRDefault="0088239D" w:rsidP="0088239D">
      <w:pPr>
        <w:numPr>
          <w:ilvl w:val="1"/>
          <w:numId w:val="34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Iniciativa emblemática "Unión por la innovación" (Estrategia Europa 2020): Objetivo de invertir el 3% del PIB en I+D, eliminar obstáculos (patentes, normas) y fomentar la cooperación público-privada.</w:t>
      </w:r>
    </w:p>
    <w:p w14:paraId="4FBE424C" w14:textId="77777777" w:rsidR="0088239D" w:rsidRPr="00A66BE7" w:rsidRDefault="0088239D" w:rsidP="0088239D">
      <w:pPr>
        <w:numPr>
          <w:ilvl w:val="1"/>
          <w:numId w:val="34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Busca crear un auténtico Mercado Único de la innovación para evitar la fuga de cerebros y la fragmentación.</w:t>
      </w:r>
    </w:p>
    <w:p w14:paraId="51022CBC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lastRenderedPageBreak/>
        <w:t>3.2. Instrumentos de Medición y Apoyo</w:t>
      </w:r>
    </w:p>
    <w:p w14:paraId="5B7AFAF1" w14:textId="77777777" w:rsidR="0088239D" w:rsidRPr="00A66BE7" w:rsidRDefault="0088239D" w:rsidP="0088239D">
      <w:pPr>
        <w:numPr>
          <w:ilvl w:val="1"/>
          <w:numId w:val="34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 xml:space="preserve">Marcadores: Cuadro europeo de indicadores de la innovación, Cuadro regional (clasifica regiones en líderes, seguidores, moderados y modestos) e </w:t>
      </w:r>
      <w:proofErr w:type="spellStart"/>
      <w:r w:rsidRPr="00A66BE7">
        <w:rPr>
          <w:rFonts w:ascii="Cambria" w:hAnsi="Cambria"/>
        </w:rPr>
        <w:t>Innobarómetro</w:t>
      </w:r>
      <w:proofErr w:type="spellEnd"/>
      <w:r w:rsidRPr="00A66BE7">
        <w:rPr>
          <w:rFonts w:ascii="Cambria" w:hAnsi="Cambria"/>
        </w:rPr>
        <w:t>.</w:t>
      </w:r>
    </w:p>
    <w:p w14:paraId="17F9D6CE" w14:textId="77777777" w:rsidR="0088239D" w:rsidRPr="00A66BE7" w:rsidRDefault="0088239D" w:rsidP="0088239D">
      <w:pPr>
        <w:numPr>
          <w:ilvl w:val="1"/>
          <w:numId w:val="34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Instituto Europeo de Innovación y Tecnología (EIT): Integra el triángulo del conocimiento (investigación, innovación, educación) a través de las Comunidades de Conocimiento e Innovación (KIC).</w:t>
      </w:r>
    </w:p>
    <w:p w14:paraId="66B25BD9" w14:textId="77777777" w:rsidR="0088239D" w:rsidRPr="00A66BE7" w:rsidRDefault="0088239D" w:rsidP="0088239D">
      <w:pPr>
        <w:numPr>
          <w:ilvl w:val="1"/>
          <w:numId w:val="34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Financiación: Mecanismo de Financiación del Riesgo Compartido (RSFF) con el BEI para mejorar el acceso a créditos.</w:t>
      </w:r>
    </w:p>
    <w:p w14:paraId="637A8AD1" w14:textId="77777777" w:rsidR="0088239D" w:rsidRPr="00A66BE7" w:rsidRDefault="0088239D" w:rsidP="0088239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66BE7">
        <w:rPr>
          <w:rFonts w:ascii="Cambria" w:hAnsi="Cambria"/>
          <w:b/>
          <w:bCs/>
          <w:color w:val="auto"/>
          <w:sz w:val="28"/>
          <w:szCs w:val="28"/>
        </w:rPr>
        <w:t>4. POLÍTICA EMPRESARIAL</w:t>
      </w:r>
    </w:p>
    <w:p w14:paraId="6F2C5ED9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4.1. Contexto de las PYME</w:t>
      </w:r>
    </w:p>
    <w:p w14:paraId="143F8C64" w14:textId="77777777" w:rsidR="0088239D" w:rsidRPr="00A66BE7" w:rsidRDefault="0088239D" w:rsidP="0088239D">
      <w:pPr>
        <w:numPr>
          <w:ilvl w:val="1"/>
          <w:numId w:val="35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Representan el 99,8% de las empresas y el 65,2% del empleo en la UE.</w:t>
      </w:r>
    </w:p>
    <w:p w14:paraId="64F99EFC" w14:textId="77777777" w:rsidR="0088239D" w:rsidRPr="00A66BE7" w:rsidRDefault="0088239D" w:rsidP="0088239D">
      <w:pPr>
        <w:numPr>
          <w:ilvl w:val="1"/>
          <w:numId w:val="35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Definición (Recomendación 2003/361/CE):</w:t>
      </w:r>
    </w:p>
    <w:p w14:paraId="57550E66" w14:textId="77777777" w:rsidR="0088239D" w:rsidRPr="00A66BE7" w:rsidRDefault="0088239D" w:rsidP="0088239D">
      <w:pPr>
        <w:numPr>
          <w:ilvl w:val="2"/>
          <w:numId w:val="35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Mediana: &lt;250 empleados, volumen negocios ≤50 M€ o balance ≤43 M€.</w:t>
      </w:r>
    </w:p>
    <w:p w14:paraId="75164B9F" w14:textId="77777777" w:rsidR="0088239D" w:rsidRPr="00A66BE7" w:rsidRDefault="0088239D" w:rsidP="0088239D">
      <w:pPr>
        <w:numPr>
          <w:ilvl w:val="2"/>
          <w:numId w:val="35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Pequeña: &lt;50 empleados, volumen/balance ≤10 M€.</w:t>
      </w:r>
    </w:p>
    <w:p w14:paraId="73601A87" w14:textId="77777777" w:rsidR="0088239D" w:rsidRPr="00A66BE7" w:rsidRDefault="0088239D" w:rsidP="0088239D">
      <w:pPr>
        <w:numPr>
          <w:ilvl w:val="2"/>
          <w:numId w:val="35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Microempresa: &lt;10 empleados, volumen/balance ≤2 M€.</w:t>
      </w:r>
    </w:p>
    <w:p w14:paraId="48E6B257" w14:textId="654C6A01" w:rsidR="0088239D" w:rsidRPr="00A66BE7" w:rsidRDefault="0088239D" w:rsidP="0088239D">
      <w:pPr>
        <w:numPr>
          <w:ilvl w:val="0"/>
          <w:numId w:val="35"/>
        </w:numPr>
        <w:jc w:val="both"/>
        <w:rPr>
          <w:rFonts w:ascii="Cambria" w:hAnsi="Cambria"/>
        </w:rPr>
      </w:pPr>
      <w:r w:rsidRPr="00A66BE7">
        <w:rPr>
          <w:rFonts w:ascii="Cambria" w:hAnsi="Cambria"/>
          <w:b/>
          <w:bCs/>
        </w:rPr>
        <w:t xml:space="preserve">4.2. Iniciativa «Small Business </w:t>
      </w:r>
      <w:proofErr w:type="spellStart"/>
      <w:r w:rsidRPr="00A66BE7">
        <w:rPr>
          <w:rFonts w:ascii="Cambria" w:hAnsi="Cambria"/>
          <w:b/>
          <w:bCs/>
        </w:rPr>
        <w:t>Act</w:t>
      </w:r>
      <w:proofErr w:type="spellEnd"/>
      <w:r w:rsidRPr="00A66BE7">
        <w:rPr>
          <w:rFonts w:ascii="Cambria" w:hAnsi="Cambria"/>
          <w:b/>
          <w:bCs/>
        </w:rPr>
        <w:t>»</w:t>
      </w:r>
    </w:p>
    <w:p w14:paraId="555492D7" w14:textId="69E5EA55" w:rsidR="0088239D" w:rsidRPr="00A66BE7" w:rsidRDefault="0088239D" w:rsidP="0088239D">
      <w:pPr>
        <w:numPr>
          <w:ilvl w:val="1"/>
          <w:numId w:val="35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 xml:space="preserve">Marco político adoptado en 2008 basado en el principio </w:t>
      </w:r>
      <w:r w:rsidRPr="00A66BE7">
        <w:rPr>
          <w:rFonts w:ascii="Cambria" w:hAnsi="Cambria"/>
          <w:u w:val="single"/>
        </w:rPr>
        <w:t>pensar primero a pequeña escala</w:t>
      </w:r>
      <w:r w:rsidRPr="00A66BE7">
        <w:rPr>
          <w:rFonts w:ascii="Cambria" w:hAnsi="Cambria"/>
        </w:rPr>
        <w:t>.</w:t>
      </w:r>
    </w:p>
    <w:p w14:paraId="289216C7" w14:textId="77777777" w:rsidR="0088239D" w:rsidRPr="00A66BE7" w:rsidRDefault="0088239D" w:rsidP="0088239D">
      <w:pPr>
        <w:numPr>
          <w:ilvl w:val="1"/>
          <w:numId w:val="35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Pilares clave: Normativa inteligente (reducción de burocracia, Ley de morosidad, facturación electrónica) y Acceso a la financiación (instrumentos del BEI/FEI, microcréditos).</w:t>
      </w:r>
    </w:p>
    <w:p w14:paraId="07808D83" w14:textId="7EA61932" w:rsidR="0088239D" w:rsidRPr="00A66BE7" w:rsidRDefault="0088239D" w:rsidP="0088239D">
      <w:pPr>
        <w:pStyle w:val="Ttulo2"/>
        <w:jc w:val="both"/>
        <w:rPr>
          <w:rFonts w:ascii="Cambria" w:hAnsi="Cambria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4.3. Programa de Mercado Único 2021-2027</w:t>
      </w:r>
    </w:p>
    <w:p w14:paraId="69C19D6C" w14:textId="77777777" w:rsidR="0088239D" w:rsidRPr="00A66BE7" w:rsidRDefault="0088239D" w:rsidP="0088239D">
      <w:pPr>
        <w:numPr>
          <w:ilvl w:val="1"/>
          <w:numId w:val="35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Presupuesto de 4.200 M€, agrupa programas anteriores como COSME y programas de consumidores/estadística.</w:t>
      </w:r>
    </w:p>
    <w:p w14:paraId="43C13956" w14:textId="77777777" w:rsidR="0088239D" w:rsidRPr="00A66BE7" w:rsidRDefault="0088239D" w:rsidP="0088239D">
      <w:pPr>
        <w:numPr>
          <w:ilvl w:val="1"/>
          <w:numId w:val="35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Objetivos: Mejorar el funcionamiento del mercado interior, competitividad de las PYME, normas europeas, protección de consumidores y seguridad alimentaria.</w:t>
      </w:r>
    </w:p>
    <w:p w14:paraId="66C170CE" w14:textId="77777777" w:rsidR="0088239D" w:rsidRPr="00A66BE7" w:rsidRDefault="0088239D" w:rsidP="0088239D">
      <w:pPr>
        <w:numPr>
          <w:ilvl w:val="1"/>
          <w:numId w:val="35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Apoyo en España a través de la red Enterprise Europe Network (nodos regionales).</w:t>
      </w:r>
    </w:p>
    <w:p w14:paraId="26118380" w14:textId="77777777" w:rsidR="0088239D" w:rsidRPr="00A66BE7" w:rsidRDefault="0088239D" w:rsidP="0088239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66BE7">
        <w:rPr>
          <w:rFonts w:ascii="Cambria" w:hAnsi="Cambria"/>
          <w:b/>
          <w:bCs/>
          <w:color w:val="auto"/>
          <w:sz w:val="28"/>
          <w:szCs w:val="28"/>
        </w:rPr>
        <w:lastRenderedPageBreak/>
        <w:t>5. OTROS PROGRAMAS</w:t>
      </w:r>
    </w:p>
    <w:p w14:paraId="08EE9839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5.1. Cooperación Europea en Ciencia y Tecnología (COST)</w:t>
      </w:r>
    </w:p>
    <w:p w14:paraId="44528A90" w14:textId="77777777" w:rsidR="0088239D" w:rsidRPr="00A66BE7" w:rsidRDefault="0088239D" w:rsidP="0088239D">
      <w:pPr>
        <w:numPr>
          <w:ilvl w:val="1"/>
          <w:numId w:val="36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Marco intergubernamental iniciado en 1971 para la coordinación de la investigación financiada nacionalmente (redes, enfoque ascendente).</w:t>
      </w:r>
    </w:p>
    <w:p w14:paraId="2D9A9792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5.2. EUREKA</w:t>
      </w:r>
    </w:p>
    <w:p w14:paraId="1EB58D0A" w14:textId="4081C5C4" w:rsidR="0088239D" w:rsidRPr="00A66BE7" w:rsidRDefault="0088239D" w:rsidP="0088239D">
      <w:pPr>
        <w:numPr>
          <w:ilvl w:val="1"/>
          <w:numId w:val="36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Red intergubernamental (1985) orientada al mercado y al desarrollo de productos/servicios innovadores. Incluye el programa conjunto Eurostars</w:t>
      </w:r>
      <w:r w:rsidR="00A66BE7">
        <w:rPr>
          <w:rFonts w:ascii="Cambria" w:hAnsi="Cambria"/>
        </w:rPr>
        <w:t xml:space="preserve"> </w:t>
      </w:r>
      <w:r w:rsidRPr="00A66BE7">
        <w:rPr>
          <w:rFonts w:ascii="Cambria" w:hAnsi="Cambria"/>
        </w:rPr>
        <w:t>para PYMES intensivas en I+D.</w:t>
      </w:r>
    </w:p>
    <w:p w14:paraId="35F079AC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5.3. Programa Espacial de la Unión</w:t>
      </w:r>
    </w:p>
    <w:p w14:paraId="6578886F" w14:textId="77777777" w:rsidR="0088239D" w:rsidRPr="00A66BE7" w:rsidRDefault="0088239D" w:rsidP="0088239D">
      <w:pPr>
        <w:numPr>
          <w:ilvl w:val="1"/>
          <w:numId w:val="36"/>
        </w:numPr>
        <w:jc w:val="both"/>
        <w:rPr>
          <w:rFonts w:ascii="Cambria" w:hAnsi="Cambria"/>
        </w:rPr>
      </w:pPr>
      <w:r w:rsidRPr="00A66BE7">
        <w:rPr>
          <w:rFonts w:ascii="Cambria" w:hAnsi="Cambria"/>
          <w:b/>
          <w:bCs/>
        </w:rPr>
        <w:t>Galileo y EGNOS:</w:t>
      </w:r>
      <w:r w:rsidRPr="00A66BE7">
        <w:rPr>
          <w:rFonts w:ascii="Cambria" w:hAnsi="Cambria"/>
        </w:rPr>
        <w:t xml:space="preserve"> Sistemas de navegación y posicionamiento por satélite (autonomía frente a GPS).</w:t>
      </w:r>
    </w:p>
    <w:p w14:paraId="5C16F911" w14:textId="77777777" w:rsidR="0088239D" w:rsidRPr="00A66BE7" w:rsidRDefault="0088239D" w:rsidP="0088239D">
      <w:pPr>
        <w:numPr>
          <w:ilvl w:val="1"/>
          <w:numId w:val="36"/>
        </w:numPr>
        <w:jc w:val="both"/>
        <w:rPr>
          <w:rFonts w:ascii="Cambria" w:hAnsi="Cambria"/>
        </w:rPr>
      </w:pPr>
      <w:proofErr w:type="spellStart"/>
      <w:r w:rsidRPr="00A66BE7">
        <w:rPr>
          <w:rFonts w:ascii="Cambria" w:hAnsi="Cambria"/>
          <w:b/>
          <w:bCs/>
        </w:rPr>
        <w:t>Copernicus</w:t>
      </w:r>
      <w:proofErr w:type="spellEnd"/>
      <w:r w:rsidRPr="00A66BE7">
        <w:rPr>
          <w:rFonts w:ascii="Cambria" w:hAnsi="Cambria"/>
          <w:b/>
          <w:bCs/>
        </w:rPr>
        <w:t>:</w:t>
      </w:r>
      <w:r w:rsidRPr="00A66BE7">
        <w:rPr>
          <w:rFonts w:ascii="Cambria" w:hAnsi="Cambria"/>
        </w:rPr>
        <w:t xml:space="preserve"> Observación de la Tierra (medioambiente, seguridad, cambio climático).</w:t>
      </w:r>
    </w:p>
    <w:p w14:paraId="785DECD8" w14:textId="77777777" w:rsidR="0088239D" w:rsidRPr="00A66BE7" w:rsidRDefault="0088239D" w:rsidP="0088239D">
      <w:pPr>
        <w:numPr>
          <w:ilvl w:val="1"/>
          <w:numId w:val="36"/>
        </w:numPr>
        <w:jc w:val="both"/>
        <w:rPr>
          <w:rFonts w:ascii="Cambria" w:hAnsi="Cambria"/>
        </w:rPr>
      </w:pPr>
      <w:r w:rsidRPr="00A66BE7">
        <w:rPr>
          <w:rFonts w:ascii="Cambria" w:hAnsi="Cambria"/>
          <w:b/>
          <w:bCs/>
        </w:rPr>
        <w:t>SSA y GOVSATCOM:</w:t>
      </w:r>
      <w:r w:rsidRPr="00A66BE7">
        <w:rPr>
          <w:rFonts w:ascii="Cambria" w:hAnsi="Cambria"/>
        </w:rPr>
        <w:t xml:space="preserve"> Conocimiento del medio espacial y comunicaciones por satélite gubernamentales.</w:t>
      </w:r>
    </w:p>
    <w:p w14:paraId="46541B58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5.4. Programa EURATOM</w:t>
      </w:r>
    </w:p>
    <w:p w14:paraId="23A9E8FF" w14:textId="77777777" w:rsidR="0088239D" w:rsidRPr="00A66BE7" w:rsidRDefault="0088239D" w:rsidP="0088239D">
      <w:pPr>
        <w:numPr>
          <w:ilvl w:val="1"/>
          <w:numId w:val="36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Investigación y formación en seguridad nuclear, protección radiológica, gestión de residuos y desarrollo de la energía de fusión.</w:t>
      </w:r>
    </w:p>
    <w:p w14:paraId="485C32F0" w14:textId="77777777" w:rsidR="0088239D" w:rsidRPr="00A66BE7" w:rsidRDefault="0088239D" w:rsidP="0088239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66BE7">
        <w:rPr>
          <w:rFonts w:ascii="Cambria" w:hAnsi="Cambria"/>
          <w:b/>
          <w:bCs/>
          <w:color w:val="auto"/>
          <w:sz w:val="28"/>
          <w:szCs w:val="28"/>
        </w:rPr>
        <w:t>6. EL MERCADO ÚNICO DIGITAL Y PROGRAMA EUROPA DIGITAL</w:t>
      </w:r>
    </w:p>
    <w:p w14:paraId="141AF2CA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6.1. Estrategia para el Mercado Único Digital</w:t>
      </w:r>
    </w:p>
    <w:p w14:paraId="68E0DB70" w14:textId="77777777" w:rsidR="0088239D" w:rsidRPr="00A66BE7" w:rsidRDefault="0088239D" w:rsidP="0088239D">
      <w:pPr>
        <w:numPr>
          <w:ilvl w:val="1"/>
          <w:numId w:val="37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Objetivo de eliminar barreras a transacciones online y mejorar el acceso a bienes/servicios digitales.</w:t>
      </w:r>
    </w:p>
    <w:p w14:paraId="41D99BF4" w14:textId="77777777" w:rsidR="00A66BE7" w:rsidRDefault="0088239D" w:rsidP="0088239D">
      <w:pPr>
        <w:numPr>
          <w:ilvl w:val="1"/>
          <w:numId w:val="37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 xml:space="preserve">Tres pilares: </w:t>
      </w:r>
    </w:p>
    <w:p w14:paraId="12C8AB67" w14:textId="77777777" w:rsidR="00A66BE7" w:rsidRDefault="0088239D" w:rsidP="00A66BE7">
      <w:pPr>
        <w:numPr>
          <w:ilvl w:val="2"/>
          <w:numId w:val="40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Mejor acceso (comercio electrónico, paquetería, fin del bloqueo geográfico, derechos de autor)</w:t>
      </w:r>
    </w:p>
    <w:p w14:paraId="66B65C80" w14:textId="77777777" w:rsidR="00A66BE7" w:rsidRDefault="0088239D" w:rsidP="00A66BE7">
      <w:pPr>
        <w:numPr>
          <w:ilvl w:val="2"/>
          <w:numId w:val="40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Condiciones para redes y servicios (telecomunicaciones, ciberseguridad)</w:t>
      </w:r>
      <w:r w:rsidR="00A66BE7">
        <w:rPr>
          <w:rFonts w:ascii="Cambria" w:hAnsi="Cambria"/>
        </w:rPr>
        <w:t xml:space="preserve"> </w:t>
      </w:r>
    </w:p>
    <w:p w14:paraId="154F5066" w14:textId="56571B12" w:rsidR="0088239D" w:rsidRPr="00A66BE7" w:rsidRDefault="0088239D" w:rsidP="00A66BE7">
      <w:pPr>
        <w:numPr>
          <w:ilvl w:val="2"/>
          <w:numId w:val="40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Potencial de crecimiento (libre flujo de datos, capacidades digitales).</w:t>
      </w:r>
    </w:p>
    <w:p w14:paraId="1ECC246F" w14:textId="77777777" w:rsidR="0088239D" w:rsidRPr="00A66BE7" w:rsidRDefault="0088239D" w:rsidP="0088239D">
      <w:pPr>
        <w:numPr>
          <w:ilvl w:val="1"/>
          <w:numId w:val="37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 xml:space="preserve">Logros: Fin del </w:t>
      </w:r>
      <w:proofErr w:type="spellStart"/>
      <w:r w:rsidRPr="00A66BE7">
        <w:rPr>
          <w:rFonts w:ascii="Cambria" w:hAnsi="Cambria"/>
        </w:rPr>
        <w:t>roaming</w:t>
      </w:r>
      <w:proofErr w:type="spellEnd"/>
      <w:r w:rsidRPr="00A66BE7">
        <w:rPr>
          <w:rFonts w:ascii="Cambria" w:hAnsi="Cambria"/>
        </w:rPr>
        <w:t xml:space="preserve"> (2017) y portabilidad de contenidos online (2018).</w:t>
      </w:r>
    </w:p>
    <w:p w14:paraId="189E85D3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lastRenderedPageBreak/>
        <w:t>6.2. Programa Europa Digital (2021-2027)</w:t>
      </w:r>
    </w:p>
    <w:p w14:paraId="1480BEC8" w14:textId="77777777" w:rsidR="0088239D" w:rsidRPr="00A66BE7" w:rsidRDefault="0088239D" w:rsidP="0088239D">
      <w:pPr>
        <w:numPr>
          <w:ilvl w:val="1"/>
          <w:numId w:val="37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Presupuesto de 7.588 M€ para acelerar la transformación digital y el despliegue de tecnologías avanzadas.</w:t>
      </w:r>
    </w:p>
    <w:p w14:paraId="2A23AAF1" w14:textId="77777777" w:rsidR="0088239D" w:rsidRPr="00A66BE7" w:rsidRDefault="0088239D" w:rsidP="0088239D">
      <w:pPr>
        <w:numPr>
          <w:ilvl w:val="1"/>
          <w:numId w:val="37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Ámbitos de financiación: Informática de alto rendimiento, Inteligencia Artificial, Ciberseguridad, Capacidades digitales avanzadas y Despliegue/interoperabilidad.</w:t>
      </w:r>
    </w:p>
    <w:p w14:paraId="3561A071" w14:textId="77777777" w:rsidR="0088239D" w:rsidRPr="00A66BE7" w:rsidRDefault="0088239D" w:rsidP="0088239D">
      <w:pPr>
        <w:numPr>
          <w:ilvl w:val="1"/>
          <w:numId w:val="37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Implementación a través de Centros Europeos de Innovación Digital.</w:t>
      </w:r>
    </w:p>
    <w:p w14:paraId="7D54CE10" w14:textId="77777777" w:rsidR="0088239D" w:rsidRPr="00A66BE7" w:rsidRDefault="0088239D" w:rsidP="0088239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66BE7">
        <w:rPr>
          <w:rFonts w:ascii="Cambria" w:hAnsi="Cambria"/>
          <w:b/>
          <w:bCs/>
          <w:color w:val="auto"/>
          <w:sz w:val="28"/>
          <w:szCs w:val="28"/>
        </w:rPr>
        <w:t>7. CONCLUSIÓN</w:t>
      </w:r>
    </w:p>
    <w:p w14:paraId="397232CD" w14:textId="77777777" w:rsidR="0088239D" w:rsidRPr="00A66BE7" w:rsidRDefault="0088239D" w:rsidP="0088239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66BE7">
        <w:rPr>
          <w:rFonts w:ascii="Cambria" w:hAnsi="Cambria"/>
          <w:b/>
          <w:bCs/>
          <w:color w:val="auto"/>
          <w:sz w:val="24"/>
          <w:szCs w:val="24"/>
        </w:rPr>
        <w:t>7.1. Perspectivas Finales</w:t>
      </w:r>
    </w:p>
    <w:p w14:paraId="6D13A708" w14:textId="77777777" w:rsidR="0088239D" w:rsidRPr="00A66BE7" w:rsidRDefault="0088239D" w:rsidP="0088239D">
      <w:pPr>
        <w:numPr>
          <w:ilvl w:val="1"/>
          <w:numId w:val="38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La investigación y la innovación son claves para la prosperidad, el bienestar y la conversión de la UE en una economía del conocimiento.</w:t>
      </w:r>
    </w:p>
    <w:p w14:paraId="25FBBF77" w14:textId="77777777" w:rsidR="0088239D" w:rsidRPr="00A66BE7" w:rsidRDefault="0088239D" w:rsidP="0088239D">
      <w:pPr>
        <w:numPr>
          <w:ilvl w:val="1"/>
          <w:numId w:val="38"/>
        </w:numPr>
        <w:jc w:val="both"/>
        <w:rPr>
          <w:rFonts w:ascii="Cambria" w:hAnsi="Cambria"/>
        </w:rPr>
      </w:pPr>
      <w:r w:rsidRPr="00A66BE7">
        <w:rPr>
          <w:rFonts w:ascii="Cambria" w:hAnsi="Cambria"/>
        </w:rPr>
        <w:t>La consolidación del Espacio Europeo de Investigación y la ejecución de Horizonte Europa son fundamentales para abordar retos como el empleo, la energía y el clima.</w:t>
      </w:r>
    </w:p>
    <w:p w14:paraId="71977591" w14:textId="77777777" w:rsidR="00A65383" w:rsidRPr="00A66BE7" w:rsidRDefault="00A65383" w:rsidP="0088239D">
      <w:pPr>
        <w:jc w:val="both"/>
        <w:rPr>
          <w:rFonts w:ascii="Cambria" w:hAnsi="Cambria"/>
        </w:rPr>
      </w:pPr>
    </w:p>
    <w:sectPr w:rsidR="00A65383" w:rsidRPr="00A66BE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171AA" w14:textId="77777777" w:rsidR="009D6796" w:rsidRDefault="009D6796" w:rsidP="009D6796">
      <w:pPr>
        <w:spacing w:after="0" w:line="240" w:lineRule="auto"/>
      </w:pPr>
      <w:r>
        <w:separator/>
      </w:r>
    </w:p>
  </w:endnote>
  <w:endnote w:type="continuationSeparator" w:id="0">
    <w:p w14:paraId="69CC07C4" w14:textId="77777777" w:rsidR="009D6796" w:rsidRDefault="009D6796" w:rsidP="009D6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87B1D" w14:textId="77777777" w:rsidR="009D6796" w:rsidRDefault="009D6796" w:rsidP="009D6796">
      <w:pPr>
        <w:spacing w:after="0" w:line="240" w:lineRule="auto"/>
      </w:pPr>
      <w:r>
        <w:separator/>
      </w:r>
    </w:p>
  </w:footnote>
  <w:footnote w:type="continuationSeparator" w:id="0">
    <w:p w14:paraId="47C98F02" w14:textId="77777777" w:rsidR="009D6796" w:rsidRDefault="009D6796" w:rsidP="009D6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A4A6" w14:textId="0C70CC65" w:rsidR="009D6796" w:rsidRPr="009D6796" w:rsidRDefault="009D6796" w:rsidP="009D6796">
    <w:pPr>
      <w:pStyle w:val="Encabezado"/>
      <w:jc w:val="both"/>
      <w:rPr>
        <w:rFonts w:ascii="Palatino Linotype" w:hAnsi="Palatino Linotype"/>
        <w:i/>
        <w:iCs/>
      </w:rPr>
    </w:pPr>
    <w:r w:rsidRPr="009D6796">
      <w:rPr>
        <w:rFonts w:ascii="Palatino Linotype" w:hAnsi="Palatino Linotype"/>
        <w:b/>
        <w:bCs/>
        <w:i/>
        <w:iCs/>
      </w:rPr>
      <w:t>TEMA 50 -</w:t>
    </w:r>
    <w:r w:rsidRPr="009D6796">
      <w:rPr>
        <w:rFonts w:ascii="Palatino Linotype" w:hAnsi="Palatino Linotype"/>
        <w:i/>
        <w:iCs/>
      </w:rPr>
      <w:t xml:space="preserve"> Política industrial y empresarial de la Unión Europea.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A92"/>
    <w:multiLevelType w:val="multilevel"/>
    <w:tmpl w:val="524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5325"/>
    <w:multiLevelType w:val="multilevel"/>
    <w:tmpl w:val="04B6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94423"/>
    <w:multiLevelType w:val="multilevel"/>
    <w:tmpl w:val="7AC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72EEA"/>
    <w:multiLevelType w:val="multilevel"/>
    <w:tmpl w:val="EE8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506E0"/>
    <w:multiLevelType w:val="multilevel"/>
    <w:tmpl w:val="E266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C7823"/>
    <w:multiLevelType w:val="multilevel"/>
    <w:tmpl w:val="731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848D6"/>
    <w:multiLevelType w:val="multilevel"/>
    <w:tmpl w:val="D8B4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20C14"/>
    <w:multiLevelType w:val="multilevel"/>
    <w:tmpl w:val="32AA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E7736"/>
    <w:multiLevelType w:val="multilevel"/>
    <w:tmpl w:val="367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0455B"/>
    <w:multiLevelType w:val="multilevel"/>
    <w:tmpl w:val="D824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0486A"/>
    <w:multiLevelType w:val="multilevel"/>
    <w:tmpl w:val="7A1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11EAB"/>
    <w:multiLevelType w:val="multilevel"/>
    <w:tmpl w:val="8A98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F5B5C"/>
    <w:multiLevelType w:val="multilevel"/>
    <w:tmpl w:val="55A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B6A1C"/>
    <w:multiLevelType w:val="multilevel"/>
    <w:tmpl w:val="E5EC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62D3F"/>
    <w:multiLevelType w:val="multilevel"/>
    <w:tmpl w:val="104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070A2"/>
    <w:multiLevelType w:val="multilevel"/>
    <w:tmpl w:val="E2D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56B6C"/>
    <w:multiLevelType w:val="multilevel"/>
    <w:tmpl w:val="C0C0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C6B7B"/>
    <w:multiLevelType w:val="multilevel"/>
    <w:tmpl w:val="1564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45512"/>
    <w:multiLevelType w:val="multilevel"/>
    <w:tmpl w:val="C5A0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B3621"/>
    <w:multiLevelType w:val="multilevel"/>
    <w:tmpl w:val="A33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D4E0F"/>
    <w:multiLevelType w:val="multilevel"/>
    <w:tmpl w:val="BE30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B53A7"/>
    <w:multiLevelType w:val="multilevel"/>
    <w:tmpl w:val="FE44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26527"/>
    <w:multiLevelType w:val="multilevel"/>
    <w:tmpl w:val="963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E0D1C"/>
    <w:multiLevelType w:val="multilevel"/>
    <w:tmpl w:val="171C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81C4C"/>
    <w:multiLevelType w:val="multilevel"/>
    <w:tmpl w:val="A2A4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7754A"/>
    <w:multiLevelType w:val="multilevel"/>
    <w:tmpl w:val="1CEC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65CA7"/>
    <w:multiLevelType w:val="multilevel"/>
    <w:tmpl w:val="907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02969"/>
    <w:multiLevelType w:val="multilevel"/>
    <w:tmpl w:val="94F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12730"/>
    <w:multiLevelType w:val="multilevel"/>
    <w:tmpl w:val="235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E2ED6"/>
    <w:multiLevelType w:val="multilevel"/>
    <w:tmpl w:val="ECC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21173"/>
    <w:multiLevelType w:val="multilevel"/>
    <w:tmpl w:val="4DB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165BE"/>
    <w:multiLevelType w:val="multilevel"/>
    <w:tmpl w:val="100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9A1BCA"/>
    <w:multiLevelType w:val="multilevel"/>
    <w:tmpl w:val="BBC6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C04DD"/>
    <w:multiLevelType w:val="multilevel"/>
    <w:tmpl w:val="A3B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35ADA"/>
    <w:multiLevelType w:val="multilevel"/>
    <w:tmpl w:val="48AA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5354E"/>
    <w:multiLevelType w:val="multilevel"/>
    <w:tmpl w:val="76AE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5D684E"/>
    <w:multiLevelType w:val="multilevel"/>
    <w:tmpl w:val="765E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72AD9"/>
    <w:multiLevelType w:val="multilevel"/>
    <w:tmpl w:val="1876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263679"/>
    <w:multiLevelType w:val="multilevel"/>
    <w:tmpl w:val="16BE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3A039C"/>
    <w:multiLevelType w:val="multilevel"/>
    <w:tmpl w:val="6D32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211307">
    <w:abstractNumId w:val="23"/>
  </w:num>
  <w:num w:numId="2" w16cid:durableId="1924534000">
    <w:abstractNumId w:val="21"/>
  </w:num>
  <w:num w:numId="3" w16cid:durableId="350304385">
    <w:abstractNumId w:val="20"/>
  </w:num>
  <w:num w:numId="4" w16cid:durableId="1724863564">
    <w:abstractNumId w:val="30"/>
  </w:num>
  <w:num w:numId="5" w16cid:durableId="1096361763">
    <w:abstractNumId w:val="18"/>
  </w:num>
  <w:num w:numId="6" w16cid:durableId="694158799">
    <w:abstractNumId w:val="5"/>
  </w:num>
  <w:num w:numId="7" w16cid:durableId="1781215518">
    <w:abstractNumId w:val="0"/>
  </w:num>
  <w:num w:numId="8" w16cid:durableId="1048846069">
    <w:abstractNumId w:val="3"/>
  </w:num>
  <w:num w:numId="9" w16cid:durableId="362827603">
    <w:abstractNumId w:val="29"/>
  </w:num>
  <w:num w:numId="10" w16cid:durableId="814370401">
    <w:abstractNumId w:val="35"/>
  </w:num>
  <w:num w:numId="11" w16cid:durableId="880289857">
    <w:abstractNumId w:val="9"/>
  </w:num>
  <w:num w:numId="12" w16cid:durableId="678846946">
    <w:abstractNumId w:val="4"/>
  </w:num>
  <w:num w:numId="13" w16cid:durableId="861014154">
    <w:abstractNumId w:val="28"/>
  </w:num>
  <w:num w:numId="14" w16cid:durableId="1421099669">
    <w:abstractNumId w:val="27"/>
  </w:num>
  <w:num w:numId="15" w16cid:durableId="1520775919">
    <w:abstractNumId w:val="1"/>
  </w:num>
  <w:num w:numId="16" w16cid:durableId="2039313505">
    <w:abstractNumId w:val="12"/>
  </w:num>
  <w:num w:numId="17" w16cid:durableId="891695107">
    <w:abstractNumId w:val="2"/>
  </w:num>
  <w:num w:numId="18" w16cid:durableId="1339893760">
    <w:abstractNumId w:val="8"/>
  </w:num>
  <w:num w:numId="19" w16cid:durableId="1226448945">
    <w:abstractNumId w:val="26"/>
  </w:num>
  <w:num w:numId="20" w16cid:durableId="205728242">
    <w:abstractNumId w:val="10"/>
  </w:num>
  <w:num w:numId="21" w16cid:durableId="1527206832">
    <w:abstractNumId w:val="32"/>
  </w:num>
  <w:num w:numId="22" w16cid:durableId="1347171662">
    <w:abstractNumId w:val="22"/>
  </w:num>
  <w:num w:numId="23" w16cid:durableId="1082483704">
    <w:abstractNumId w:val="19"/>
  </w:num>
  <w:num w:numId="24" w16cid:durableId="2027975877">
    <w:abstractNumId w:val="38"/>
  </w:num>
  <w:num w:numId="25" w16cid:durableId="1255633011">
    <w:abstractNumId w:val="16"/>
  </w:num>
  <w:num w:numId="26" w16cid:durableId="562182703">
    <w:abstractNumId w:val="24"/>
  </w:num>
  <w:num w:numId="27" w16cid:durableId="1796174257">
    <w:abstractNumId w:val="34"/>
  </w:num>
  <w:num w:numId="28" w16cid:durableId="1294795946">
    <w:abstractNumId w:val="31"/>
  </w:num>
  <w:num w:numId="29" w16cid:durableId="136530657">
    <w:abstractNumId w:val="11"/>
  </w:num>
  <w:num w:numId="30" w16cid:durableId="847913019">
    <w:abstractNumId w:val="36"/>
  </w:num>
  <w:num w:numId="31" w16cid:durableId="454493585">
    <w:abstractNumId w:val="17"/>
  </w:num>
  <w:num w:numId="32" w16cid:durableId="518590348">
    <w:abstractNumId w:val="33"/>
  </w:num>
  <w:num w:numId="33" w16cid:durableId="627779437">
    <w:abstractNumId w:val="6"/>
  </w:num>
  <w:num w:numId="34" w16cid:durableId="1095052967">
    <w:abstractNumId w:val="14"/>
  </w:num>
  <w:num w:numId="35" w16cid:durableId="1695888771">
    <w:abstractNumId w:val="37"/>
  </w:num>
  <w:num w:numId="36" w16cid:durableId="286158732">
    <w:abstractNumId w:val="7"/>
  </w:num>
  <w:num w:numId="37" w16cid:durableId="848372006">
    <w:abstractNumId w:val="13"/>
  </w:num>
  <w:num w:numId="38" w16cid:durableId="734006595">
    <w:abstractNumId w:val="39"/>
  </w:num>
  <w:num w:numId="39" w16cid:durableId="1451433808">
    <w:abstractNumId w:val="15"/>
  </w:num>
  <w:num w:numId="40" w16cid:durableId="16401854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96"/>
    <w:rsid w:val="00106D8F"/>
    <w:rsid w:val="001B1AAA"/>
    <w:rsid w:val="003C72F6"/>
    <w:rsid w:val="005803BC"/>
    <w:rsid w:val="0088239D"/>
    <w:rsid w:val="009D6796"/>
    <w:rsid w:val="00A65383"/>
    <w:rsid w:val="00A66BE7"/>
    <w:rsid w:val="00A8675C"/>
    <w:rsid w:val="00C12CFD"/>
    <w:rsid w:val="00D2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51DE7"/>
  <w15:chartTrackingRefBased/>
  <w15:docId w15:val="{48E09066-74D4-477C-96DE-01F4FDB7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6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6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6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6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6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6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6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6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D6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6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67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67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6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67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6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6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6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79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D67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7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679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D6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6796"/>
  </w:style>
  <w:style w:type="paragraph" w:styleId="Piedepgina">
    <w:name w:val="footer"/>
    <w:basedOn w:val="Normal"/>
    <w:link w:val="PiedepginaCar"/>
    <w:uiPriority w:val="99"/>
    <w:unhideWhenUsed/>
    <w:rsid w:val="009D6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6796"/>
  </w:style>
  <w:style w:type="numbering" w:customStyle="1" w:styleId="Sinlista1">
    <w:name w:val="Sin lista1"/>
    <w:next w:val="Sinlista"/>
    <w:uiPriority w:val="99"/>
    <w:semiHidden/>
    <w:unhideWhenUsed/>
    <w:rsid w:val="0088239D"/>
  </w:style>
  <w:style w:type="character" w:customStyle="1" w:styleId="ng-tns-c4103393053-966">
    <w:name w:val="ng-tns-c4103393053-966"/>
    <w:basedOn w:val="Fuentedeprrafopredeter"/>
    <w:rsid w:val="0088239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23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239D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8239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88239D"/>
  </w:style>
  <w:style w:type="character" w:customStyle="1" w:styleId="hljs-builtin">
    <w:name w:val="hljs-built_in"/>
    <w:basedOn w:val="Fuentedeprrafopredeter"/>
    <w:rsid w:val="0088239D"/>
  </w:style>
  <w:style w:type="character" w:customStyle="1" w:styleId="hljs-string">
    <w:name w:val="hljs-string"/>
    <w:basedOn w:val="Fuentedeprrafopredeter"/>
    <w:rsid w:val="0088239D"/>
  </w:style>
  <w:style w:type="character" w:customStyle="1" w:styleId="hljs-comment">
    <w:name w:val="hljs-comment"/>
    <w:basedOn w:val="Fuentedeprrafopredeter"/>
    <w:rsid w:val="0088239D"/>
  </w:style>
  <w:style w:type="character" w:customStyle="1" w:styleId="hljs-number">
    <w:name w:val="hljs-number"/>
    <w:basedOn w:val="Fuentedeprrafopredeter"/>
    <w:rsid w:val="0088239D"/>
  </w:style>
  <w:style w:type="character" w:customStyle="1" w:styleId="ng-tns-c4103393053-967">
    <w:name w:val="ng-tns-c4103393053-967"/>
    <w:basedOn w:val="Fuentedeprrafopredeter"/>
    <w:rsid w:val="0088239D"/>
  </w:style>
  <w:style w:type="character" w:customStyle="1" w:styleId="ng-tns-c4103393053-968">
    <w:name w:val="ng-tns-c4103393053-968"/>
    <w:basedOn w:val="Fuentedeprrafopredeter"/>
    <w:rsid w:val="0088239D"/>
  </w:style>
  <w:style w:type="character" w:customStyle="1" w:styleId="ng-tns-c4103393053-969">
    <w:name w:val="ng-tns-c4103393053-969"/>
    <w:basedOn w:val="Fuentedeprrafopredeter"/>
    <w:rsid w:val="0088239D"/>
  </w:style>
  <w:style w:type="character" w:customStyle="1" w:styleId="ng-tns-c4103393053-970">
    <w:name w:val="ng-tns-c4103393053-970"/>
    <w:basedOn w:val="Fuentedeprrafopredeter"/>
    <w:rsid w:val="0088239D"/>
  </w:style>
  <w:style w:type="paragraph" w:styleId="NormalWeb">
    <w:name w:val="Normal (Web)"/>
    <w:basedOn w:val="Normal"/>
    <w:uiPriority w:val="99"/>
    <w:semiHidden/>
    <w:unhideWhenUsed/>
    <w:rsid w:val="00882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984</Words>
  <Characters>6073</Characters>
  <Application>Microsoft Office Word</Application>
  <DocSecurity>0</DocSecurity>
  <Lines>141</Lines>
  <Paragraphs>84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4</cp:revision>
  <dcterms:created xsi:type="dcterms:W3CDTF">2025-12-10T08:27:00Z</dcterms:created>
  <dcterms:modified xsi:type="dcterms:W3CDTF">2026-01-14T08:56:00Z</dcterms:modified>
</cp:coreProperties>
</file>