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FBB49" w14:textId="77777777" w:rsidR="005F3AC6" w:rsidRPr="00E930A5" w:rsidRDefault="005F3AC6" w:rsidP="005F3AC6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E930A5">
        <w:rPr>
          <w:rFonts w:ascii="Cambria" w:hAnsi="Cambria"/>
          <w:b/>
          <w:bCs/>
          <w:color w:val="auto"/>
          <w:sz w:val="28"/>
          <w:szCs w:val="28"/>
        </w:rPr>
        <w:t>1. INTRODUCCIÓN</w:t>
      </w:r>
    </w:p>
    <w:p w14:paraId="2DF0C280" w14:textId="77777777" w:rsidR="005F3AC6" w:rsidRPr="00E930A5" w:rsidRDefault="005F3AC6" w:rsidP="005F3AC6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E930A5">
        <w:rPr>
          <w:rFonts w:ascii="Cambria" w:hAnsi="Cambria"/>
          <w:b/>
          <w:bCs/>
          <w:color w:val="auto"/>
          <w:sz w:val="24"/>
          <w:szCs w:val="24"/>
        </w:rPr>
        <w:t>1.1. Origen y Competencias</w:t>
      </w:r>
    </w:p>
    <w:p w14:paraId="08628052" w14:textId="77777777" w:rsidR="005F3AC6" w:rsidRPr="00E930A5" w:rsidRDefault="005F3AC6" w:rsidP="005F3AC6">
      <w:pPr>
        <w:numPr>
          <w:ilvl w:val="1"/>
          <w:numId w:val="16"/>
        </w:numPr>
        <w:jc w:val="both"/>
        <w:rPr>
          <w:rFonts w:ascii="Cambria" w:hAnsi="Cambria"/>
        </w:rPr>
      </w:pPr>
      <w:r w:rsidRPr="00E930A5">
        <w:rPr>
          <w:rFonts w:ascii="Cambria" w:hAnsi="Cambria"/>
        </w:rPr>
        <w:t>Aunque los Tratados de Roma (1958) se centraron en cuatro políticas comunes (agrícola, comercial, transportes y competencia), la UE ha evolucionado adoptando competencias medioambientales a medida que avanzaba la integración.</w:t>
      </w:r>
    </w:p>
    <w:p w14:paraId="45E178C5" w14:textId="77777777" w:rsidR="005F3AC6" w:rsidRPr="00E930A5" w:rsidRDefault="005F3AC6" w:rsidP="005F3AC6">
      <w:pPr>
        <w:numPr>
          <w:ilvl w:val="1"/>
          <w:numId w:val="16"/>
        </w:numPr>
        <w:jc w:val="both"/>
        <w:rPr>
          <w:rFonts w:ascii="Cambria" w:hAnsi="Cambria"/>
        </w:rPr>
      </w:pPr>
      <w:r w:rsidRPr="00E930A5">
        <w:rPr>
          <w:rFonts w:ascii="Cambria" w:hAnsi="Cambria"/>
        </w:rPr>
        <w:t>La intervención comunitaria es concurrente con la de los Estados miembros, existiendo políticas a nivel nacional y supranacional.</w:t>
      </w:r>
    </w:p>
    <w:p w14:paraId="75E2F322" w14:textId="77777777" w:rsidR="005F3AC6" w:rsidRPr="00E930A5" w:rsidRDefault="005F3AC6" w:rsidP="005F3AC6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E930A5">
        <w:rPr>
          <w:rFonts w:ascii="Cambria" w:hAnsi="Cambria"/>
          <w:b/>
          <w:bCs/>
          <w:color w:val="auto"/>
          <w:sz w:val="24"/>
          <w:szCs w:val="24"/>
        </w:rPr>
        <w:t>1.2. Marco Jurídico</w:t>
      </w:r>
    </w:p>
    <w:p w14:paraId="1E9649D4" w14:textId="77777777" w:rsidR="005F3AC6" w:rsidRPr="00E930A5" w:rsidRDefault="005F3AC6" w:rsidP="005F3AC6">
      <w:pPr>
        <w:numPr>
          <w:ilvl w:val="1"/>
          <w:numId w:val="16"/>
        </w:numPr>
        <w:jc w:val="both"/>
        <w:rPr>
          <w:rFonts w:ascii="Cambria" w:hAnsi="Cambria"/>
        </w:rPr>
      </w:pPr>
      <w:r w:rsidRPr="00E930A5">
        <w:rPr>
          <w:rFonts w:ascii="Cambria" w:hAnsi="Cambria"/>
        </w:rPr>
        <w:t>Se fundamenta en los artículos 11 y 191 a 193 del TFUE.</w:t>
      </w:r>
    </w:p>
    <w:p w14:paraId="069B01D7" w14:textId="77777777" w:rsidR="005F3AC6" w:rsidRPr="00E930A5" w:rsidRDefault="005F3AC6" w:rsidP="005F3AC6">
      <w:pPr>
        <w:numPr>
          <w:ilvl w:val="1"/>
          <w:numId w:val="16"/>
        </w:numPr>
        <w:jc w:val="both"/>
        <w:rPr>
          <w:rFonts w:ascii="Cambria" w:hAnsi="Cambria"/>
        </w:rPr>
      </w:pPr>
      <w:r w:rsidRPr="00E930A5">
        <w:rPr>
          <w:rFonts w:ascii="Cambria" w:hAnsi="Cambria"/>
        </w:rPr>
        <w:t>La UE es competente en ámbitos como contaminación (aire, agua), residuos y cambio climático.</w:t>
      </w:r>
    </w:p>
    <w:p w14:paraId="03A254F3" w14:textId="77777777" w:rsidR="005F3AC6" w:rsidRPr="00E930A5" w:rsidRDefault="005F3AC6" w:rsidP="005F3AC6">
      <w:pPr>
        <w:numPr>
          <w:ilvl w:val="1"/>
          <w:numId w:val="16"/>
        </w:numPr>
        <w:jc w:val="both"/>
        <w:rPr>
          <w:rFonts w:ascii="Cambria" w:hAnsi="Cambria"/>
        </w:rPr>
      </w:pPr>
      <w:r w:rsidRPr="00E930A5">
        <w:rPr>
          <w:rFonts w:ascii="Cambria" w:hAnsi="Cambria"/>
        </w:rPr>
        <w:t>Limitaciones: Se aplica el principio de subsidiariedad y se requiere unanimidad en el Consejo para asuntos fiscales, ordenación territorial, uso del suelo, gestión de recursos hídricos y estructura energética.</w:t>
      </w:r>
    </w:p>
    <w:p w14:paraId="05A19877" w14:textId="77777777" w:rsidR="005F3AC6" w:rsidRPr="00E930A5" w:rsidRDefault="005F3AC6" w:rsidP="005F3AC6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E930A5">
        <w:rPr>
          <w:rFonts w:ascii="Cambria" w:hAnsi="Cambria"/>
          <w:b/>
          <w:bCs/>
          <w:color w:val="auto"/>
          <w:sz w:val="28"/>
          <w:szCs w:val="28"/>
        </w:rPr>
        <w:t>2. EVOLUCIÓN Y PRINCIPIOS GENERALES</w:t>
      </w:r>
    </w:p>
    <w:p w14:paraId="2362CAD3" w14:textId="77777777" w:rsidR="005F3AC6" w:rsidRPr="00E930A5" w:rsidRDefault="005F3AC6" w:rsidP="005F3AC6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E930A5">
        <w:rPr>
          <w:rFonts w:ascii="Cambria" w:hAnsi="Cambria"/>
          <w:b/>
          <w:bCs/>
          <w:color w:val="auto"/>
          <w:sz w:val="24"/>
          <w:szCs w:val="24"/>
        </w:rPr>
        <w:t>2.1. Hitos Históricos</w:t>
      </w:r>
    </w:p>
    <w:p w14:paraId="200BBFF8" w14:textId="77777777" w:rsidR="005F3AC6" w:rsidRPr="00E930A5" w:rsidRDefault="005F3AC6" w:rsidP="005F3AC6">
      <w:pPr>
        <w:numPr>
          <w:ilvl w:val="1"/>
          <w:numId w:val="17"/>
        </w:numPr>
        <w:jc w:val="both"/>
        <w:rPr>
          <w:rFonts w:ascii="Cambria" w:hAnsi="Cambria"/>
        </w:rPr>
      </w:pPr>
      <w:r w:rsidRPr="00E930A5">
        <w:rPr>
          <w:rFonts w:ascii="Cambria" w:hAnsi="Cambria"/>
          <w:b/>
          <w:bCs/>
        </w:rPr>
        <w:t>Consejo de París (1972):</w:t>
      </w:r>
      <w:r w:rsidRPr="00E930A5">
        <w:rPr>
          <w:rFonts w:ascii="Cambria" w:hAnsi="Cambria"/>
        </w:rPr>
        <w:t xml:space="preserve"> Reconocimiento de la necesidad de una política comunitaria tras la Conferencia de la ONU.</w:t>
      </w:r>
    </w:p>
    <w:p w14:paraId="7DD05339" w14:textId="77777777" w:rsidR="005F3AC6" w:rsidRPr="00E930A5" w:rsidRDefault="005F3AC6" w:rsidP="005F3AC6">
      <w:pPr>
        <w:numPr>
          <w:ilvl w:val="1"/>
          <w:numId w:val="17"/>
        </w:numPr>
        <w:jc w:val="both"/>
        <w:rPr>
          <w:rFonts w:ascii="Cambria" w:hAnsi="Cambria"/>
        </w:rPr>
      </w:pPr>
      <w:r w:rsidRPr="00E930A5">
        <w:rPr>
          <w:rFonts w:ascii="Cambria" w:hAnsi="Cambria"/>
          <w:b/>
          <w:bCs/>
        </w:rPr>
        <w:t>Acta Única Europea (1987):</w:t>
      </w:r>
      <w:r w:rsidRPr="00E930A5">
        <w:rPr>
          <w:rFonts w:ascii="Cambria" w:hAnsi="Cambria"/>
        </w:rPr>
        <w:t xml:space="preserve"> Introdujo el primer fundamento jurídico específico para preservar la calidad ambiental y la salud humana.</w:t>
      </w:r>
    </w:p>
    <w:p w14:paraId="3C15B282" w14:textId="77777777" w:rsidR="005F3AC6" w:rsidRPr="00E930A5" w:rsidRDefault="005F3AC6" w:rsidP="005F3AC6">
      <w:pPr>
        <w:numPr>
          <w:ilvl w:val="1"/>
          <w:numId w:val="17"/>
        </w:numPr>
        <w:jc w:val="both"/>
        <w:rPr>
          <w:rFonts w:ascii="Cambria" w:hAnsi="Cambria"/>
        </w:rPr>
      </w:pPr>
      <w:r w:rsidRPr="00E930A5">
        <w:rPr>
          <w:rFonts w:ascii="Cambria" w:hAnsi="Cambria"/>
          <w:b/>
          <w:bCs/>
        </w:rPr>
        <w:t>Tratado de Maastricht (1993):</w:t>
      </w:r>
      <w:r w:rsidRPr="00E930A5">
        <w:rPr>
          <w:rFonts w:ascii="Cambria" w:hAnsi="Cambria"/>
        </w:rPr>
        <w:t xml:space="preserve"> Oficializó el ámbito político, introdujo la codecisión y la mayoría cualificada.</w:t>
      </w:r>
    </w:p>
    <w:p w14:paraId="276E085C" w14:textId="77777777" w:rsidR="005F3AC6" w:rsidRPr="00E930A5" w:rsidRDefault="005F3AC6" w:rsidP="005F3AC6">
      <w:pPr>
        <w:numPr>
          <w:ilvl w:val="1"/>
          <w:numId w:val="17"/>
        </w:numPr>
        <w:jc w:val="both"/>
        <w:rPr>
          <w:rFonts w:ascii="Cambria" w:hAnsi="Cambria"/>
        </w:rPr>
      </w:pPr>
      <w:r w:rsidRPr="00E930A5">
        <w:rPr>
          <w:rFonts w:ascii="Cambria" w:hAnsi="Cambria"/>
          <w:b/>
          <w:bCs/>
        </w:rPr>
        <w:t>Tratado de Ámsterdam (1999):</w:t>
      </w:r>
      <w:r w:rsidRPr="00E930A5">
        <w:rPr>
          <w:rFonts w:ascii="Cambria" w:hAnsi="Cambria"/>
        </w:rPr>
        <w:t xml:space="preserve"> Obligación de integrar la protección ambiental en todas las políticas sectoriales (desarrollo sostenible).</w:t>
      </w:r>
    </w:p>
    <w:p w14:paraId="434370D0" w14:textId="77777777" w:rsidR="005F3AC6" w:rsidRPr="00E930A5" w:rsidRDefault="005F3AC6" w:rsidP="005F3AC6">
      <w:pPr>
        <w:numPr>
          <w:ilvl w:val="1"/>
          <w:numId w:val="17"/>
        </w:numPr>
        <w:jc w:val="both"/>
        <w:rPr>
          <w:rFonts w:ascii="Cambria" w:hAnsi="Cambria"/>
        </w:rPr>
      </w:pPr>
      <w:r w:rsidRPr="00E930A5">
        <w:rPr>
          <w:rFonts w:ascii="Cambria" w:hAnsi="Cambria"/>
          <w:b/>
          <w:bCs/>
        </w:rPr>
        <w:t>Tratado de Lisboa (2009):</w:t>
      </w:r>
      <w:r w:rsidRPr="00E930A5">
        <w:rPr>
          <w:rFonts w:ascii="Cambria" w:hAnsi="Cambria"/>
        </w:rPr>
        <w:t xml:space="preserve"> Fijó la lucha contra el cambio climático como objetivo específico y otorgó personalidad jurídica para acuerdos internacionales.</w:t>
      </w:r>
    </w:p>
    <w:p w14:paraId="0D4BA8AB" w14:textId="77777777" w:rsidR="005F3AC6" w:rsidRPr="00E930A5" w:rsidRDefault="005F3AC6" w:rsidP="005F3AC6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E930A5">
        <w:rPr>
          <w:rFonts w:ascii="Cambria" w:hAnsi="Cambria"/>
          <w:b/>
          <w:bCs/>
          <w:color w:val="auto"/>
          <w:sz w:val="24"/>
          <w:szCs w:val="24"/>
        </w:rPr>
        <w:t>2.2. Principios Rectores</w:t>
      </w:r>
    </w:p>
    <w:p w14:paraId="2A925814" w14:textId="77777777" w:rsidR="005F3AC6" w:rsidRPr="00E930A5" w:rsidRDefault="005F3AC6" w:rsidP="005F3AC6">
      <w:pPr>
        <w:numPr>
          <w:ilvl w:val="1"/>
          <w:numId w:val="17"/>
        </w:numPr>
        <w:jc w:val="both"/>
        <w:rPr>
          <w:rFonts w:ascii="Cambria" w:hAnsi="Cambria"/>
        </w:rPr>
      </w:pPr>
      <w:r w:rsidRPr="00E930A5">
        <w:rPr>
          <w:rFonts w:ascii="Cambria" w:hAnsi="Cambria"/>
          <w:b/>
          <w:bCs/>
        </w:rPr>
        <w:t>Principio de Cautela:</w:t>
      </w:r>
      <w:r w:rsidRPr="00E930A5">
        <w:rPr>
          <w:rFonts w:ascii="Cambria" w:hAnsi="Cambria"/>
        </w:rPr>
        <w:t xml:space="preserve"> Herramienta de gestión de riesgos ante incertidumbre científica que permite detener la distribución de productos sospechosos.</w:t>
      </w:r>
    </w:p>
    <w:p w14:paraId="4B49B455" w14:textId="77777777" w:rsidR="005F3AC6" w:rsidRPr="00E930A5" w:rsidRDefault="005F3AC6" w:rsidP="005F3AC6">
      <w:pPr>
        <w:numPr>
          <w:ilvl w:val="1"/>
          <w:numId w:val="17"/>
        </w:numPr>
        <w:jc w:val="both"/>
        <w:rPr>
          <w:rFonts w:ascii="Cambria" w:hAnsi="Cambria"/>
        </w:rPr>
      </w:pPr>
      <w:r w:rsidRPr="00E930A5">
        <w:rPr>
          <w:rFonts w:ascii="Cambria" w:hAnsi="Cambria"/>
          <w:b/>
          <w:bCs/>
        </w:rPr>
        <w:lastRenderedPageBreak/>
        <w:t>Principio de "quien contamina paga":</w:t>
      </w:r>
      <w:r w:rsidRPr="00E930A5">
        <w:rPr>
          <w:rFonts w:ascii="Cambria" w:hAnsi="Cambria"/>
        </w:rPr>
        <w:t xml:space="preserve"> Regulado por la Directiva 2004/35/CE sobre responsabilidad medioambiental. Obliga a los operadores a prevenir amenazas inminentes y a remediar y costear los daños producidos.</w:t>
      </w:r>
    </w:p>
    <w:p w14:paraId="6597FC24" w14:textId="34DC9094" w:rsidR="005F3AC6" w:rsidRPr="00E930A5" w:rsidRDefault="005F3AC6" w:rsidP="005F3AC6">
      <w:pPr>
        <w:numPr>
          <w:ilvl w:val="1"/>
          <w:numId w:val="17"/>
        </w:numPr>
        <w:jc w:val="both"/>
        <w:rPr>
          <w:rFonts w:ascii="Cambria" w:hAnsi="Cambria"/>
        </w:rPr>
      </w:pPr>
      <w:r w:rsidRPr="00E930A5">
        <w:rPr>
          <w:rFonts w:ascii="Cambria" w:hAnsi="Cambria"/>
          <w:b/>
          <w:bCs/>
        </w:rPr>
        <w:t>Integración:</w:t>
      </w:r>
      <w:r w:rsidRPr="00E930A5">
        <w:rPr>
          <w:rFonts w:ascii="Cambria" w:hAnsi="Cambria"/>
        </w:rPr>
        <w:t xml:space="preserve"> Consolidado desde el proceso de Cardif</w:t>
      </w:r>
      <w:r w:rsidR="00E930A5">
        <w:rPr>
          <w:rFonts w:ascii="Cambria" w:hAnsi="Cambria"/>
        </w:rPr>
        <w:t>f</w:t>
      </w:r>
      <w:r w:rsidRPr="00E930A5">
        <w:rPr>
          <w:rFonts w:ascii="Cambria" w:hAnsi="Cambria"/>
        </w:rPr>
        <w:t>, implica incorporar consideraciones ambientales en sectores como energía, industria, transporte y agricultura.</w:t>
      </w:r>
    </w:p>
    <w:p w14:paraId="12B0D410" w14:textId="77777777" w:rsidR="005F3AC6" w:rsidRPr="00E930A5" w:rsidRDefault="005F3AC6" w:rsidP="005F3AC6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E930A5">
        <w:rPr>
          <w:rFonts w:ascii="Cambria" w:hAnsi="Cambria"/>
          <w:b/>
          <w:bCs/>
          <w:color w:val="auto"/>
          <w:sz w:val="28"/>
          <w:szCs w:val="28"/>
        </w:rPr>
        <w:t>3. MARCO BÁSICO DE ACTUACIÓN</w:t>
      </w:r>
    </w:p>
    <w:p w14:paraId="24C41B44" w14:textId="77777777" w:rsidR="005F3AC6" w:rsidRPr="00E930A5" w:rsidRDefault="005F3AC6" w:rsidP="005F3AC6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E930A5">
        <w:rPr>
          <w:rFonts w:ascii="Cambria" w:hAnsi="Cambria"/>
          <w:b/>
          <w:bCs/>
          <w:color w:val="auto"/>
          <w:sz w:val="24"/>
          <w:szCs w:val="24"/>
        </w:rPr>
        <w:t>3.1. Programas de Acción en Materia de Medio Ambiente</w:t>
      </w:r>
    </w:p>
    <w:p w14:paraId="1256D50D" w14:textId="77777777" w:rsidR="005F3AC6" w:rsidRPr="00E930A5" w:rsidRDefault="005F3AC6" w:rsidP="005F3AC6">
      <w:pPr>
        <w:numPr>
          <w:ilvl w:val="1"/>
          <w:numId w:val="18"/>
        </w:numPr>
        <w:jc w:val="both"/>
        <w:rPr>
          <w:rFonts w:ascii="Cambria" w:hAnsi="Cambria"/>
        </w:rPr>
      </w:pPr>
      <w:r w:rsidRPr="00E930A5">
        <w:rPr>
          <w:rFonts w:ascii="Cambria" w:hAnsi="Cambria"/>
        </w:rPr>
        <w:t>Guían la política desde 1973. El Sexto Programa (2002-2012) priorizó cambio climático, biodiversidad, salud y recursos.</w:t>
      </w:r>
    </w:p>
    <w:p w14:paraId="283802EE" w14:textId="77777777" w:rsidR="005F3AC6" w:rsidRPr="00E930A5" w:rsidRDefault="005F3AC6" w:rsidP="005F3AC6">
      <w:pPr>
        <w:numPr>
          <w:ilvl w:val="1"/>
          <w:numId w:val="18"/>
        </w:numPr>
        <w:jc w:val="both"/>
        <w:rPr>
          <w:rFonts w:ascii="Cambria" w:hAnsi="Cambria"/>
        </w:rPr>
      </w:pPr>
      <w:r w:rsidRPr="00E930A5">
        <w:rPr>
          <w:rFonts w:ascii="Cambria" w:hAnsi="Cambria"/>
          <w:b/>
          <w:bCs/>
        </w:rPr>
        <w:t>Séptimo Programa (2014-2020):</w:t>
      </w:r>
      <w:r w:rsidRPr="00E930A5">
        <w:rPr>
          <w:rFonts w:ascii="Cambria" w:hAnsi="Cambria"/>
        </w:rPr>
        <w:t xml:space="preserve"> Centrado en vivir dentro de los límites del planeta, eficiencia de recursos y economía </w:t>
      </w:r>
      <w:proofErr w:type="spellStart"/>
      <w:r w:rsidRPr="00E930A5">
        <w:rPr>
          <w:rFonts w:ascii="Cambria" w:hAnsi="Cambria"/>
        </w:rPr>
        <w:t>hipocarbónica</w:t>
      </w:r>
      <w:proofErr w:type="spellEnd"/>
      <w:r w:rsidRPr="00E930A5">
        <w:rPr>
          <w:rFonts w:ascii="Cambria" w:hAnsi="Cambria"/>
        </w:rPr>
        <w:t>.</w:t>
      </w:r>
    </w:p>
    <w:p w14:paraId="07D52893" w14:textId="77777777" w:rsidR="005F3AC6" w:rsidRPr="00E930A5" w:rsidRDefault="005F3AC6" w:rsidP="005F3AC6">
      <w:pPr>
        <w:numPr>
          <w:ilvl w:val="1"/>
          <w:numId w:val="18"/>
        </w:numPr>
        <w:jc w:val="both"/>
        <w:rPr>
          <w:rFonts w:ascii="Cambria" w:hAnsi="Cambria"/>
        </w:rPr>
      </w:pPr>
      <w:r w:rsidRPr="00E930A5">
        <w:rPr>
          <w:rFonts w:ascii="Cambria" w:hAnsi="Cambria"/>
          <w:b/>
          <w:bCs/>
        </w:rPr>
        <w:t>Octavo Programa (2021-2030):</w:t>
      </w:r>
      <w:r w:rsidRPr="00E930A5">
        <w:rPr>
          <w:rFonts w:ascii="Cambria" w:hAnsi="Cambria"/>
        </w:rPr>
        <w:t xml:space="preserve"> Alineado con la Agenda 2030, apoya la recuperación ecológica post-COVID y reafirma la visión de neutralidad climática para 2050.</w:t>
      </w:r>
    </w:p>
    <w:p w14:paraId="17824727" w14:textId="06800306" w:rsidR="005F3AC6" w:rsidRPr="00E930A5" w:rsidRDefault="005F3AC6" w:rsidP="005F3AC6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E930A5">
        <w:rPr>
          <w:rFonts w:ascii="Cambria" w:hAnsi="Cambria"/>
          <w:b/>
          <w:bCs/>
          <w:color w:val="auto"/>
          <w:sz w:val="24"/>
          <w:szCs w:val="24"/>
        </w:rPr>
        <w:t>3.2. Pacto Verde Europeo</w:t>
      </w:r>
    </w:p>
    <w:p w14:paraId="7BF05C09" w14:textId="77777777" w:rsidR="005F3AC6" w:rsidRPr="00E930A5" w:rsidRDefault="005F3AC6" w:rsidP="005F3AC6">
      <w:pPr>
        <w:numPr>
          <w:ilvl w:val="1"/>
          <w:numId w:val="18"/>
        </w:numPr>
        <w:jc w:val="both"/>
        <w:rPr>
          <w:rFonts w:ascii="Cambria" w:hAnsi="Cambria"/>
        </w:rPr>
      </w:pPr>
      <w:r w:rsidRPr="00E930A5">
        <w:rPr>
          <w:rFonts w:ascii="Cambria" w:hAnsi="Cambria"/>
        </w:rPr>
        <w:t>Nueva estrategia de crecimiento para transformar la UE en el primer continente climáticamente neutro en 2050.</w:t>
      </w:r>
    </w:p>
    <w:p w14:paraId="4F07C04D" w14:textId="77777777" w:rsidR="005F3AC6" w:rsidRPr="00E930A5" w:rsidRDefault="005F3AC6" w:rsidP="005F3AC6">
      <w:pPr>
        <w:numPr>
          <w:ilvl w:val="1"/>
          <w:numId w:val="18"/>
        </w:numPr>
        <w:jc w:val="both"/>
        <w:rPr>
          <w:rFonts w:ascii="Cambria" w:hAnsi="Cambria"/>
        </w:rPr>
      </w:pPr>
      <w:r w:rsidRPr="00E930A5">
        <w:rPr>
          <w:rFonts w:ascii="Cambria" w:hAnsi="Cambria"/>
          <w:b/>
          <w:bCs/>
        </w:rPr>
        <w:t>Ley Europea del Clima:</w:t>
      </w:r>
      <w:r w:rsidRPr="00E930A5">
        <w:rPr>
          <w:rFonts w:ascii="Cambria" w:hAnsi="Cambria"/>
        </w:rPr>
        <w:t xml:space="preserve"> Fija el objetivo vinculante de reducir emisiones al menos un 55% para 2030.</w:t>
      </w:r>
    </w:p>
    <w:p w14:paraId="77692DB3" w14:textId="09EEC0A6" w:rsidR="005F3AC6" w:rsidRPr="00E930A5" w:rsidRDefault="005F3AC6" w:rsidP="005F3AC6">
      <w:pPr>
        <w:numPr>
          <w:ilvl w:val="1"/>
          <w:numId w:val="18"/>
        </w:numPr>
        <w:jc w:val="both"/>
        <w:rPr>
          <w:rFonts w:ascii="Cambria" w:hAnsi="Cambria"/>
        </w:rPr>
      </w:pPr>
      <w:r w:rsidRPr="00E930A5">
        <w:rPr>
          <w:rFonts w:ascii="Cambria" w:hAnsi="Cambria"/>
        </w:rPr>
        <w:t>Incluye iniciativas como la Estrategia de Adaptación (2021), el paquete Objetivo 55 (reforma del comercio de emisiones, mecanismo de ajuste en frontera por carbono) y estrategias de biodiversidad y economía circular.</w:t>
      </w:r>
    </w:p>
    <w:p w14:paraId="190B232B" w14:textId="77777777" w:rsidR="005F3AC6" w:rsidRPr="00E930A5" w:rsidRDefault="005F3AC6" w:rsidP="005F3AC6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E930A5">
        <w:rPr>
          <w:rFonts w:ascii="Cambria" w:hAnsi="Cambria"/>
          <w:b/>
          <w:bCs/>
          <w:color w:val="auto"/>
          <w:sz w:val="24"/>
          <w:szCs w:val="24"/>
        </w:rPr>
        <w:t>3.3. Red Natura 2000</w:t>
      </w:r>
    </w:p>
    <w:p w14:paraId="5B50D4E7" w14:textId="053B947C" w:rsidR="005F3AC6" w:rsidRPr="00E930A5" w:rsidRDefault="005F3AC6" w:rsidP="005F3AC6">
      <w:pPr>
        <w:numPr>
          <w:ilvl w:val="1"/>
          <w:numId w:val="18"/>
        </w:numPr>
        <w:jc w:val="both"/>
        <w:rPr>
          <w:rFonts w:ascii="Cambria" w:hAnsi="Cambria"/>
        </w:rPr>
      </w:pPr>
      <w:r w:rsidRPr="00E930A5">
        <w:rPr>
          <w:rFonts w:ascii="Cambria" w:hAnsi="Cambria"/>
        </w:rPr>
        <w:t>Creada en 1992 (Directiva Hábitats y Directiva Aves) para conservar la biodiversidad en zonas protegidas (ZEPA, LIC, ZEC).</w:t>
      </w:r>
    </w:p>
    <w:p w14:paraId="4704892B" w14:textId="77777777" w:rsidR="005F3AC6" w:rsidRPr="00E930A5" w:rsidRDefault="005F3AC6" w:rsidP="005F3AC6">
      <w:pPr>
        <w:numPr>
          <w:ilvl w:val="1"/>
          <w:numId w:val="18"/>
        </w:numPr>
        <w:jc w:val="both"/>
        <w:rPr>
          <w:rFonts w:ascii="Cambria" w:hAnsi="Cambria"/>
        </w:rPr>
      </w:pPr>
      <w:r w:rsidRPr="00E930A5">
        <w:rPr>
          <w:rFonts w:ascii="Cambria" w:hAnsi="Cambria"/>
        </w:rPr>
        <w:t>Es la mayor red de zonas protegidas del mundo (18% del territorio terrestre de la UE). España aporta una gran superficie (27,35% de su territorio).</w:t>
      </w:r>
    </w:p>
    <w:p w14:paraId="140F1C01" w14:textId="77777777" w:rsidR="005F3AC6" w:rsidRPr="00E930A5" w:rsidRDefault="005F3AC6" w:rsidP="005F3AC6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E930A5">
        <w:rPr>
          <w:rFonts w:ascii="Cambria" w:hAnsi="Cambria"/>
          <w:b/>
          <w:bCs/>
          <w:color w:val="auto"/>
          <w:sz w:val="24"/>
          <w:szCs w:val="24"/>
        </w:rPr>
        <w:t>3.4. Estrategias Horizontales</w:t>
      </w:r>
    </w:p>
    <w:p w14:paraId="22B1FCA0" w14:textId="3E02561C" w:rsidR="005F3AC6" w:rsidRPr="00E930A5" w:rsidRDefault="005F3AC6" w:rsidP="005F3AC6">
      <w:pPr>
        <w:numPr>
          <w:ilvl w:val="1"/>
          <w:numId w:val="18"/>
        </w:numPr>
        <w:jc w:val="both"/>
        <w:rPr>
          <w:rFonts w:ascii="Cambria" w:hAnsi="Cambria"/>
        </w:rPr>
      </w:pPr>
      <w:r w:rsidRPr="00E930A5">
        <w:rPr>
          <w:rFonts w:ascii="Cambria" w:hAnsi="Cambria"/>
          <w:b/>
          <w:bCs/>
        </w:rPr>
        <w:t>Estrategia Europa 2020:</w:t>
      </w:r>
      <w:r w:rsidRPr="00E930A5">
        <w:rPr>
          <w:rFonts w:ascii="Cambria" w:hAnsi="Cambria"/>
        </w:rPr>
        <w:t xml:space="preserve"> Fijó los objetivos 20/20/20</w:t>
      </w:r>
      <w:r w:rsidR="00E930A5">
        <w:rPr>
          <w:rFonts w:ascii="Cambria" w:hAnsi="Cambria"/>
        </w:rPr>
        <w:t xml:space="preserve"> </w:t>
      </w:r>
      <w:r w:rsidRPr="00E930A5">
        <w:rPr>
          <w:rFonts w:ascii="Cambria" w:hAnsi="Cambria"/>
        </w:rPr>
        <w:t>en clima y energía (emisiones, renovables, eficiencia).</w:t>
      </w:r>
    </w:p>
    <w:p w14:paraId="21354AB0" w14:textId="77777777" w:rsidR="005F3AC6" w:rsidRPr="00E930A5" w:rsidRDefault="005F3AC6" w:rsidP="005F3AC6">
      <w:pPr>
        <w:numPr>
          <w:ilvl w:val="1"/>
          <w:numId w:val="18"/>
        </w:numPr>
        <w:jc w:val="both"/>
        <w:rPr>
          <w:rFonts w:ascii="Cambria" w:hAnsi="Cambria"/>
        </w:rPr>
      </w:pPr>
      <w:r w:rsidRPr="00E930A5">
        <w:rPr>
          <w:rFonts w:ascii="Cambria" w:hAnsi="Cambria"/>
          <w:b/>
          <w:bCs/>
        </w:rPr>
        <w:lastRenderedPageBreak/>
        <w:t>Marco Estratégico 2030:</w:t>
      </w:r>
      <w:r w:rsidRPr="00E930A5">
        <w:rPr>
          <w:rFonts w:ascii="Cambria" w:hAnsi="Cambria"/>
        </w:rPr>
        <w:t xml:space="preserve"> Actualizado con objetivos más ambiciosos (reducción de emisiones del 57-62%, 32% renovables, 32,5% eficiencia).</w:t>
      </w:r>
    </w:p>
    <w:p w14:paraId="147EFD22" w14:textId="77777777" w:rsidR="005F3AC6" w:rsidRPr="00E930A5" w:rsidRDefault="005F3AC6" w:rsidP="005F3AC6">
      <w:pPr>
        <w:numPr>
          <w:ilvl w:val="1"/>
          <w:numId w:val="18"/>
        </w:numPr>
        <w:jc w:val="both"/>
        <w:rPr>
          <w:rFonts w:ascii="Cambria" w:hAnsi="Cambria"/>
        </w:rPr>
      </w:pPr>
      <w:r w:rsidRPr="00E930A5">
        <w:rPr>
          <w:rFonts w:ascii="Cambria" w:hAnsi="Cambria"/>
          <w:b/>
          <w:bCs/>
        </w:rPr>
        <w:t>Visión a largo plazo (2050):</w:t>
      </w:r>
      <w:r w:rsidRPr="00E930A5">
        <w:rPr>
          <w:rFonts w:ascii="Cambria" w:hAnsi="Cambria"/>
        </w:rPr>
        <w:t xml:space="preserve"> Economía próspera y neutra desde el punto de vista climático, alineada con el Acuerdo de París.</w:t>
      </w:r>
    </w:p>
    <w:p w14:paraId="66C1C7DB" w14:textId="77777777" w:rsidR="005F3AC6" w:rsidRPr="00E930A5" w:rsidRDefault="005F3AC6" w:rsidP="005F3AC6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E930A5">
        <w:rPr>
          <w:rFonts w:ascii="Cambria" w:hAnsi="Cambria"/>
          <w:b/>
          <w:bCs/>
          <w:color w:val="auto"/>
          <w:sz w:val="24"/>
          <w:szCs w:val="24"/>
        </w:rPr>
        <w:t>3.5. Evaluación y Participación</w:t>
      </w:r>
    </w:p>
    <w:p w14:paraId="331D19D7" w14:textId="77777777" w:rsidR="005F3AC6" w:rsidRPr="00E930A5" w:rsidRDefault="005F3AC6" w:rsidP="005F3AC6">
      <w:pPr>
        <w:numPr>
          <w:ilvl w:val="1"/>
          <w:numId w:val="18"/>
        </w:numPr>
        <w:jc w:val="both"/>
        <w:rPr>
          <w:rFonts w:ascii="Cambria" w:hAnsi="Cambria"/>
        </w:rPr>
      </w:pPr>
      <w:r w:rsidRPr="00E930A5">
        <w:rPr>
          <w:rFonts w:ascii="Cambria" w:hAnsi="Cambria"/>
        </w:rPr>
        <w:t>Instrumentos preventivos: Evaluación de Impacto Ambiental (proyectos) y Evaluación Estratégica Medioambiental (planes/programas).</w:t>
      </w:r>
    </w:p>
    <w:p w14:paraId="7E751B8D" w14:textId="77777777" w:rsidR="005F3AC6" w:rsidRPr="00E930A5" w:rsidRDefault="005F3AC6" w:rsidP="005F3AC6">
      <w:pPr>
        <w:numPr>
          <w:ilvl w:val="1"/>
          <w:numId w:val="18"/>
        </w:numPr>
        <w:jc w:val="both"/>
        <w:rPr>
          <w:rFonts w:ascii="Cambria" w:hAnsi="Cambria"/>
        </w:rPr>
      </w:pPr>
      <w:r w:rsidRPr="00E930A5">
        <w:rPr>
          <w:rFonts w:ascii="Cambria" w:hAnsi="Cambria"/>
          <w:b/>
          <w:bCs/>
        </w:rPr>
        <w:t>Convenio de Aarhus (1998):</w:t>
      </w:r>
      <w:r w:rsidRPr="00E930A5">
        <w:rPr>
          <w:rFonts w:ascii="Cambria" w:hAnsi="Cambria"/>
        </w:rPr>
        <w:t xml:space="preserve"> Garantiza los derechos de acceso a la información, participación pública en la toma de decisiones y acceso a la justicia.</w:t>
      </w:r>
    </w:p>
    <w:p w14:paraId="6DAEF73E" w14:textId="77777777" w:rsidR="005F3AC6" w:rsidRPr="00E930A5" w:rsidRDefault="005F3AC6" w:rsidP="005F3AC6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E930A5">
        <w:rPr>
          <w:rFonts w:ascii="Cambria" w:hAnsi="Cambria"/>
          <w:b/>
          <w:bCs/>
          <w:color w:val="auto"/>
          <w:sz w:val="24"/>
          <w:szCs w:val="24"/>
        </w:rPr>
        <w:t>3.6. Aplicación y Organismos</w:t>
      </w:r>
    </w:p>
    <w:p w14:paraId="6C4FEBA6" w14:textId="77777777" w:rsidR="005F3AC6" w:rsidRPr="00E930A5" w:rsidRDefault="005F3AC6" w:rsidP="005F3AC6">
      <w:pPr>
        <w:numPr>
          <w:ilvl w:val="1"/>
          <w:numId w:val="18"/>
        </w:numPr>
        <w:jc w:val="both"/>
        <w:rPr>
          <w:rFonts w:ascii="Cambria" w:hAnsi="Cambria"/>
        </w:rPr>
      </w:pPr>
      <w:r w:rsidRPr="00E930A5">
        <w:rPr>
          <w:rFonts w:ascii="Cambria" w:hAnsi="Cambria"/>
        </w:rPr>
        <w:t>Normativa sobre delitos medioambientales y Recomendación sobre inspecciones mínimas.</w:t>
      </w:r>
    </w:p>
    <w:p w14:paraId="51102F52" w14:textId="77777777" w:rsidR="005F3AC6" w:rsidRPr="00E930A5" w:rsidRDefault="005F3AC6" w:rsidP="005F3AC6">
      <w:pPr>
        <w:numPr>
          <w:ilvl w:val="1"/>
          <w:numId w:val="18"/>
        </w:numPr>
        <w:jc w:val="both"/>
        <w:rPr>
          <w:rFonts w:ascii="Cambria" w:hAnsi="Cambria"/>
        </w:rPr>
      </w:pPr>
      <w:r w:rsidRPr="00E930A5">
        <w:rPr>
          <w:rFonts w:ascii="Cambria" w:hAnsi="Cambria"/>
          <w:b/>
          <w:bCs/>
        </w:rPr>
        <w:t>Agencia Europea de Medio Ambiente (AEMA):</w:t>
      </w:r>
      <w:r w:rsidRPr="00E930A5">
        <w:rPr>
          <w:rFonts w:ascii="Cambria" w:hAnsi="Cambria"/>
        </w:rPr>
        <w:t xml:space="preserve"> Con sede en Copenhague, facilita información fiable, coordina la red EIONET y gestiona </w:t>
      </w:r>
      <w:proofErr w:type="spellStart"/>
      <w:r w:rsidRPr="00E930A5">
        <w:rPr>
          <w:rFonts w:ascii="Cambria" w:hAnsi="Cambria"/>
        </w:rPr>
        <w:t>Copernicus</w:t>
      </w:r>
      <w:proofErr w:type="spellEnd"/>
      <w:r w:rsidRPr="00E930A5">
        <w:rPr>
          <w:rFonts w:ascii="Cambria" w:hAnsi="Cambria"/>
        </w:rPr>
        <w:t>.</w:t>
      </w:r>
    </w:p>
    <w:p w14:paraId="74F44BE8" w14:textId="77777777" w:rsidR="005F3AC6" w:rsidRPr="00E930A5" w:rsidRDefault="005F3AC6" w:rsidP="005F3AC6">
      <w:pPr>
        <w:numPr>
          <w:ilvl w:val="1"/>
          <w:numId w:val="18"/>
        </w:numPr>
        <w:jc w:val="both"/>
        <w:rPr>
          <w:rFonts w:ascii="Cambria" w:hAnsi="Cambria"/>
        </w:rPr>
      </w:pPr>
      <w:r w:rsidRPr="00E930A5">
        <w:rPr>
          <w:rFonts w:ascii="Cambria" w:hAnsi="Cambria"/>
          <w:b/>
          <w:bCs/>
        </w:rPr>
        <w:t>Registro PRTR:</w:t>
      </w:r>
      <w:r w:rsidRPr="00E930A5">
        <w:rPr>
          <w:rFonts w:ascii="Cambria" w:hAnsi="Cambria"/>
        </w:rPr>
        <w:t xml:space="preserve"> Inventario público de emisiones y transferencias de contaminantes de instalaciones industriales.</w:t>
      </w:r>
    </w:p>
    <w:p w14:paraId="5B10EB6E" w14:textId="77777777" w:rsidR="005F3AC6" w:rsidRPr="00E930A5" w:rsidRDefault="005F3AC6" w:rsidP="005F3AC6">
      <w:pPr>
        <w:pStyle w:val="Ttulo1"/>
        <w:jc w:val="both"/>
        <w:rPr>
          <w:rFonts w:ascii="Cambria" w:hAnsi="Cambria"/>
        </w:rPr>
      </w:pPr>
      <w:r w:rsidRPr="00E930A5">
        <w:rPr>
          <w:rFonts w:ascii="Cambria" w:hAnsi="Cambria"/>
          <w:b/>
          <w:bCs/>
          <w:color w:val="auto"/>
          <w:sz w:val="28"/>
          <w:szCs w:val="28"/>
        </w:rPr>
        <w:t>4. CAMBIO CLIMÁTICO Y MEDIOAMBIENTE</w:t>
      </w:r>
    </w:p>
    <w:p w14:paraId="3324C762" w14:textId="77777777" w:rsidR="005F3AC6" w:rsidRPr="00E930A5" w:rsidRDefault="005F3AC6" w:rsidP="005F3AC6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E930A5">
        <w:rPr>
          <w:rFonts w:ascii="Cambria" w:hAnsi="Cambria"/>
          <w:b/>
          <w:bCs/>
          <w:color w:val="auto"/>
          <w:sz w:val="24"/>
          <w:szCs w:val="24"/>
        </w:rPr>
        <w:t>4.1. Contexto y Política Internacional</w:t>
      </w:r>
    </w:p>
    <w:p w14:paraId="2501CE13" w14:textId="77777777" w:rsidR="005F3AC6" w:rsidRPr="00E930A5" w:rsidRDefault="005F3AC6" w:rsidP="005F3AC6">
      <w:pPr>
        <w:numPr>
          <w:ilvl w:val="1"/>
          <w:numId w:val="19"/>
        </w:numPr>
        <w:jc w:val="both"/>
        <w:rPr>
          <w:rFonts w:ascii="Cambria" w:hAnsi="Cambria"/>
        </w:rPr>
      </w:pPr>
      <w:r w:rsidRPr="00E930A5">
        <w:rPr>
          <w:rFonts w:ascii="Cambria" w:hAnsi="Cambria"/>
        </w:rPr>
        <w:t>El calentamiento global, atribuible a la acción humana (IPCC), genera fenómenos extremos, subida del nivel del mar y riesgos irreversibles si supera los 2ºC.</w:t>
      </w:r>
    </w:p>
    <w:p w14:paraId="514B6FB7" w14:textId="77777777" w:rsidR="005F3AC6" w:rsidRPr="00E930A5" w:rsidRDefault="005F3AC6" w:rsidP="005F3AC6">
      <w:pPr>
        <w:numPr>
          <w:ilvl w:val="1"/>
          <w:numId w:val="19"/>
        </w:numPr>
        <w:jc w:val="both"/>
        <w:rPr>
          <w:rFonts w:ascii="Cambria" w:hAnsi="Cambria"/>
        </w:rPr>
      </w:pPr>
      <w:r w:rsidRPr="00E930A5">
        <w:rPr>
          <w:rFonts w:ascii="Cambria" w:hAnsi="Cambria"/>
          <w:b/>
          <w:bCs/>
        </w:rPr>
        <w:t xml:space="preserve">Protocolo de </w:t>
      </w:r>
      <w:proofErr w:type="spellStart"/>
      <w:r w:rsidRPr="00E930A5">
        <w:rPr>
          <w:rFonts w:ascii="Cambria" w:hAnsi="Cambria"/>
          <w:b/>
          <w:bCs/>
        </w:rPr>
        <w:t>Kyoto</w:t>
      </w:r>
      <w:proofErr w:type="spellEnd"/>
      <w:r w:rsidRPr="00E930A5">
        <w:rPr>
          <w:rFonts w:ascii="Cambria" w:hAnsi="Cambria"/>
          <w:b/>
          <w:bCs/>
        </w:rPr>
        <w:t xml:space="preserve"> (1997):</w:t>
      </w:r>
      <w:r w:rsidRPr="00E930A5">
        <w:rPr>
          <w:rFonts w:ascii="Cambria" w:hAnsi="Cambria"/>
        </w:rPr>
        <w:t xml:space="preserve"> Compromiso de reducción de 6 gases de efecto invernadero.</w:t>
      </w:r>
    </w:p>
    <w:p w14:paraId="56099DE4" w14:textId="77777777" w:rsidR="005F3AC6" w:rsidRPr="00E930A5" w:rsidRDefault="005F3AC6" w:rsidP="005F3AC6">
      <w:pPr>
        <w:numPr>
          <w:ilvl w:val="1"/>
          <w:numId w:val="19"/>
        </w:numPr>
        <w:jc w:val="both"/>
        <w:rPr>
          <w:rFonts w:ascii="Cambria" w:hAnsi="Cambria"/>
        </w:rPr>
      </w:pPr>
      <w:r w:rsidRPr="00E930A5">
        <w:rPr>
          <w:rFonts w:ascii="Cambria" w:hAnsi="Cambria"/>
          <w:b/>
          <w:bCs/>
        </w:rPr>
        <w:t>Acuerdo de París (2015):</w:t>
      </w:r>
      <w:r w:rsidRPr="00E930A5">
        <w:rPr>
          <w:rFonts w:ascii="Cambria" w:hAnsi="Cambria"/>
        </w:rPr>
        <w:t xml:space="preserve"> Acuerdo histórico universal para mantener el aumento de temperatura muy por debajo de 2ºC, esforzándose por limitar a 1,5ºC.</w:t>
      </w:r>
    </w:p>
    <w:p w14:paraId="49FB0892" w14:textId="77777777" w:rsidR="005F3AC6" w:rsidRPr="00E930A5" w:rsidRDefault="005F3AC6" w:rsidP="005F3AC6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E930A5">
        <w:rPr>
          <w:rFonts w:ascii="Cambria" w:hAnsi="Cambria"/>
          <w:b/>
          <w:bCs/>
          <w:color w:val="auto"/>
          <w:sz w:val="24"/>
          <w:szCs w:val="24"/>
        </w:rPr>
        <w:t>4.2. Medidas de la UE</w:t>
      </w:r>
    </w:p>
    <w:p w14:paraId="3E84B396" w14:textId="77777777" w:rsidR="005F3AC6" w:rsidRPr="00E930A5" w:rsidRDefault="005F3AC6" w:rsidP="005F3AC6">
      <w:pPr>
        <w:numPr>
          <w:ilvl w:val="1"/>
          <w:numId w:val="19"/>
        </w:numPr>
        <w:jc w:val="both"/>
        <w:rPr>
          <w:rFonts w:ascii="Cambria" w:hAnsi="Cambria"/>
        </w:rPr>
      </w:pPr>
      <w:r w:rsidRPr="00E930A5">
        <w:rPr>
          <w:rFonts w:ascii="Cambria" w:hAnsi="Cambria"/>
          <w:b/>
          <w:bCs/>
        </w:rPr>
        <w:t>Régimen de Comercio de Derechos de Emisión (RCCDE):</w:t>
      </w:r>
      <w:r w:rsidRPr="00E930A5">
        <w:rPr>
          <w:rFonts w:ascii="Cambria" w:hAnsi="Cambria"/>
        </w:rPr>
        <w:t xml:space="preserve"> Mercado de carbono que limita emisiones de más de 11.000 instalaciones industriales y eléctricas.</w:t>
      </w:r>
    </w:p>
    <w:p w14:paraId="03EA6693" w14:textId="77777777" w:rsidR="005F3AC6" w:rsidRPr="00E930A5" w:rsidRDefault="005F3AC6" w:rsidP="005F3AC6">
      <w:pPr>
        <w:numPr>
          <w:ilvl w:val="1"/>
          <w:numId w:val="19"/>
        </w:numPr>
        <w:jc w:val="both"/>
        <w:rPr>
          <w:rFonts w:ascii="Cambria" w:hAnsi="Cambria"/>
        </w:rPr>
      </w:pPr>
      <w:r w:rsidRPr="00E930A5">
        <w:rPr>
          <w:rFonts w:ascii="Cambria" w:hAnsi="Cambria"/>
          <w:b/>
          <w:bCs/>
        </w:rPr>
        <w:lastRenderedPageBreak/>
        <w:t>Reparto del esfuerzo:</w:t>
      </w:r>
      <w:r w:rsidRPr="00E930A5">
        <w:rPr>
          <w:rFonts w:ascii="Cambria" w:hAnsi="Cambria"/>
        </w:rPr>
        <w:t xml:space="preserve"> Objetivos vinculantes para sectores difusos (transporte, residuos, agricultura).</w:t>
      </w:r>
    </w:p>
    <w:p w14:paraId="526DCA27" w14:textId="65C8116A" w:rsidR="005F3AC6" w:rsidRPr="00E930A5" w:rsidRDefault="005F3AC6" w:rsidP="005F3AC6">
      <w:pPr>
        <w:numPr>
          <w:ilvl w:val="1"/>
          <w:numId w:val="19"/>
        </w:numPr>
        <w:jc w:val="both"/>
        <w:rPr>
          <w:rFonts w:ascii="Cambria" w:hAnsi="Cambria"/>
        </w:rPr>
      </w:pPr>
      <w:r w:rsidRPr="00E930A5">
        <w:rPr>
          <w:rFonts w:ascii="Cambria" w:hAnsi="Cambria"/>
          <w:b/>
          <w:bCs/>
        </w:rPr>
        <w:t>Uso de la tierra:</w:t>
      </w:r>
      <w:r w:rsidRPr="00E930A5">
        <w:rPr>
          <w:rFonts w:ascii="Cambria" w:hAnsi="Cambria"/>
        </w:rPr>
        <w:t xml:space="preserve"> Compromiso de deuda cero (absorción equivalente a emisiones).</w:t>
      </w:r>
    </w:p>
    <w:p w14:paraId="58F10F36" w14:textId="77777777" w:rsidR="005F3AC6" w:rsidRPr="00E930A5" w:rsidRDefault="005F3AC6" w:rsidP="005F3AC6">
      <w:pPr>
        <w:numPr>
          <w:ilvl w:val="1"/>
          <w:numId w:val="19"/>
        </w:numPr>
        <w:jc w:val="both"/>
        <w:rPr>
          <w:rFonts w:ascii="Cambria" w:hAnsi="Cambria"/>
        </w:rPr>
      </w:pPr>
      <w:r w:rsidRPr="00E930A5">
        <w:rPr>
          <w:rFonts w:ascii="Cambria" w:hAnsi="Cambria"/>
          <w:b/>
          <w:bCs/>
        </w:rPr>
        <w:t>Energías renovables y Eficiencia:</w:t>
      </w:r>
      <w:r w:rsidRPr="00E930A5">
        <w:rPr>
          <w:rFonts w:ascii="Cambria" w:hAnsi="Cambria"/>
        </w:rPr>
        <w:t xml:space="preserve"> Directivas para aumentar la cuota de renovables y mejorar la eficiencia energética.</w:t>
      </w:r>
    </w:p>
    <w:p w14:paraId="32E16AAD" w14:textId="77777777" w:rsidR="005F3AC6" w:rsidRPr="00E930A5" w:rsidRDefault="005F3AC6" w:rsidP="005F3AC6">
      <w:pPr>
        <w:numPr>
          <w:ilvl w:val="1"/>
          <w:numId w:val="19"/>
        </w:numPr>
        <w:jc w:val="both"/>
        <w:rPr>
          <w:rFonts w:ascii="Cambria" w:hAnsi="Cambria"/>
        </w:rPr>
      </w:pPr>
      <w:r w:rsidRPr="00E930A5">
        <w:rPr>
          <w:rFonts w:ascii="Cambria" w:hAnsi="Cambria"/>
          <w:b/>
          <w:bCs/>
        </w:rPr>
        <w:t>Transporte:</w:t>
      </w:r>
      <w:r w:rsidRPr="00E930A5">
        <w:rPr>
          <w:rFonts w:ascii="Cambria" w:hAnsi="Cambria"/>
        </w:rPr>
        <w:t xml:space="preserve"> Normas estrictas sobre emisiones de CO2 para turismos y vehículos comerciales.</w:t>
      </w:r>
    </w:p>
    <w:p w14:paraId="0CC64372" w14:textId="77777777" w:rsidR="005F3AC6" w:rsidRPr="00E930A5" w:rsidRDefault="005F3AC6" w:rsidP="005F3AC6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E930A5">
        <w:rPr>
          <w:rFonts w:ascii="Cambria" w:hAnsi="Cambria"/>
          <w:b/>
          <w:bCs/>
          <w:color w:val="auto"/>
          <w:sz w:val="28"/>
          <w:szCs w:val="28"/>
        </w:rPr>
        <w:t>5. OTRAS ACTUACIONES DE LA UE</w:t>
      </w:r>
    </w:p>
    <w:p w14:paraId="2D1622AA" w14:textId="77777777" w:rsidR="005F3AC6" w:rsidRPr="00E930A5" w:rsidRDefault="005F3AC6" w:rsidP="005F3AC6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E930A5">
        <w:rPr>
          <w:rFonts w:ascii="Cambria" w:hAnsi="Cambria"/>
          <w:b/>
          <w:bCs/>
          <w:color w:val="auto"/>
          <w:sz w:val="24"/>
          <w:szCs w:val="24"/>
        </w:rPr>
        <w:t>5.1. Áreas Temáticas</w:t>
      </w:r>
    </w:p>
    <w:p w14:paraId="453C9AB7" w14:textId="77777777" w:rsidR="005F3AC6" w:rsidRPr="00E930A5" w:rsidRDefault="005F3AC6" w:rsidP="005F3AC6">
      <w:pPr>
        <w:numPr>
          <w:ilvl w:val="1"/>
          <w:numId w:val="20"/>
        </w:numPr>
        <w:jc w:val="both"/>
        <w:rPr>
          <w:rFonts w:ascii="Cambria" w:hAnsi="Cambria"/>
        </w:rPr>
      </w:pPr>
      <w:r w:rsidRPr="00E930A5">
        <w:rPr>
          <w:rFonts w:ascii="Cambria" w:hAnsi="Cambria"/>
          <w:b/>
          <w:bCs/>
        </w:rPr>
        <w:t>Recursos y Residuos:</w:t>
      </w:r>
      <w:r w:rsidRPr="00E930A5">
        <w:rPr>
          <w:rFonts w:ascii="Cambria" w:hAnsi="Cambria"/>
        </w:rPr>
        <w:t xml:space="preserve"> Fomento de la economía circular (reutilizar, reciclar) para minimizar vertederos.</w:t>
      </w:r>
    </w:p>
    <w:p w14:paraId="410838D8" w14:textId="77777777" w:rsidR="005F3AC6" w:rsidRPr="00E930A5" w:rsidRDefault="005F3AC6" w:rsidP="005F3AC6">
      <w:pPr>
        <w:numPr>
          <w:ilvl w:val="1"/>
          <w:numId w:val="20"/>
        </w:numPr>
        <w:jc w:val="both"/>
        <w:rPr>
          <w:rFonts w:ascii="Cambria" w:hAnsi="Cambria"/>
        </w:rPr>
      </w:pPr>
      <w:r w:rsidRPr="00E930A5">
        <w:rPr>
          <w:rFonts w:ascii="Cambria" w:hAnsi="Cambria"/>
          <w:b/>
          <w:bCs/>
        </w:rPr>
        <w:t>Biodiversidad:</w:t>
      </w:r>
      <w:r w:rsidRPr="00E930A5">
        <w:rPr>
          <w:rFonts w:ascii="Cambria" w:hAnsi="Cambria"/>
        </w:rPr>
        <w:t xml:space="preserve"> Estrategias para detener la pérdida de especies y restaurar servicios ecosistémicos.</w:t>
      </w:r>
    </w:p>
    <w:p w14:paraId="7379928E" w14:textId="77777777" w:rsidR="005F3AC6" w:rsidRPr="00E930A5" w:rsidRDefault="005F3AC6" w:rsidP="005F3AC6">
      <w:pPr>
        <w:numPr>
          <w:ilvl w:val="1"/>
          <w:numId w:val="20"/>
        </w:numPr>
        <w:jc w:val="both"/>
        <w:rPr>
          <w:rFonts w:ascii="Cambria" w:hAnsi="Cambria"/>
        </w:rPr>
      </w:pPr>
      <w:r w:rsidRPr="00E930A5">
        <w:rPr>
          <w:rFonts w:ascii="Cambria" w:hAnsi="Cambria"/>
          <w:b/>
          <w:bCs/>
        </w:rPr>
        <w:t>Productos Químicos (REACH):</w:t>
      </w:r>
      <w:r w:rsidRPr="00E930A5">
        <w:rPr>
          <w:rFonts w:ascii="Cambria" w:hAnsi="Cambria"/>
        </w:rPr>
        <w:t xml:space="preserve"> Sistema avanzado de registro, evaluación y autorización gestionado por la ECHA.</w:t>
      </w:r>
    </w:p>
    <w:p w14:paraId="19F8347E" w14:textId="77777777" w:rsidR="005F3AC6" w:rsidRPr="00E930A5" w:rsidRDefault="005F3AC6" w:rsidP="005F3AC6">
      <w:pPr>
        <w:numPr>
          <w:ilvl w:val="1"/>
          <w:numId w:val="20"/>
        </w:numPr>
        <w:jc w:val="both"/>
        <w:rPr>
          <w:rFonts w:ascii="Cambria" w:hAnsi="Cambria"/>
        </w:rPr>
      </w:pPr>
      <w:r w:rsidRPr="00E930A5">
        <w:rPr>
          <w:rFonts w:ascii="Cambria" w:hAnsi="Cambria"/>
          <w:b/>
          <w:bCs/>
        </w:rPr>
        <w:t>Aire y Agua:</w:t>
      </w:r>
      <w:r w:rsidRPr="00E930A5">
        <w:rPr>
          <w:rFonts w:ascii="Cambria" w:hAnsi="Cambria"/>
        </w:rPr>
        <w:t xml:space="preserve"> Directivas de calidad del aire, Directiva Marco del Agua (objetivo de buen estado para 2015), Estrategia Marina y calidad de aguas de baño.</w:t>
      </w:r>
    </w:p>
    <w:p w14:paraId="6202969F" w14:textId="77777777" w:rsidR="005F3AC6" w:rsidRPr="00E930A5" w:rsidRDefault="005F3AC6" w:rsidP="005F3AC6">
      <w:pPr>
        <w:numPr>
          <w:ilvl w:val="1"/>
          <w:numId w:val="20"/>
        </w:numPr>
        <w:jc w:val="both"/>
        <w:rPr>
          <w:rFonts w:ascii="Cambria" w:hAnsi="Cambria"/>
        </w:rPr>
      </w:pPr>
      <w:r w:rsidRPr="00E930A5">
        <w:rPr>
          <w:rFonts w:ascii="Cambria" w:hAnsi="Cambria"/>
          <w:b/>
          <w:bCs/>
        </w:rPr>
        <w:t>Ruido:</w:t>
      </w:r>
      <w:r w:rsidRPr="00E930A5">
        <w:rPr>
          <w:rFonts w:ascii="Cambria" w:hAnsi="Cambria"/>
        </w:rPr>
        <w:t xml:space="preserve"> Mapas y planes de acción en grandes ejes y poblaciones.</w:t>
      </w:r>
    </w:p>
    <w:p w14:paraId="18592B3B" w14:textId="77777777" w:rsidR="005F3AC6" w:rsidRPr="00E930A5" w:rsidRDefault="005F3AC6" w:rsidP="005F3AC6">
      <w:pPr>
        <w:numPr>
          <w:ilvl w:val="1"/>
          <w:numId w:val="20"/>
        </w:numPr>
        <w:jc w:val="both"/>
        <w:rPr>
          <w:rFonts w:ascii="Cambria" w:hAnsi="Cambria"/>
        </w:rPr>
      </w:pPr>
      <w:r w:rsidRPr="00E930A5">
        <w:rPr>
          <w:rFonts w:ascii="Cambria" w:hAnsi="Cambria"/>
          <w:b/>
          <w:bCs/>
        </w:rPr>
        <w:t>Bosques y Suelo:</w:t>
      </w:r>
      <w:r w:rsidRPr="00E930A5">
        <w:rPr>
          <w:rFonts w:ascii="Cambria" w:hAnsi="Cambria"/>
        </w:rPr>
        <w:t xml:space="preserve"> Lucha contra la tala ilegal y estrategias de protección del suelo.</w:t>
      </w:r>
    </w:p>
    <w:p w14:paraId="2FDC2544" w14:textId="77777777" w:rsidR="005F3AC6" w:rsidRPr="00E930A5" w:rsidRDefault="005F3AC6" w:rsidP="005F3AC6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E930A5">
        <w:rPr>
          <w:rFonts w:ascii="Cambria" w:hAnsi="Cambria"/>
          <w:b/>
          <w:bCs/>
          <w:color w:val="auto"/>
          <w:sz w:val="24"/>
          <w:szCs w:val="24"/>
        </w:rPr>
        <w:t>5.2. Herramientas de Gestión y Sensibilización</w:t>
      </w:r>
    </w:p>
    <w:p w14:paraId="2B8E6956" w14:textId="77777777" w:rsidR="005F3AC6" w:rsidRPr="00E930A5" w:rsidRDefault="005F3AC6" w:rsidP="005F3AC6">
      <w:pPr>
        <w:numPr>
          <w:ilvl w:val="1"/>
          <w:numId w:val="20"/>
        </w:numPr>
        <w:jc w:val="both"/>
        <w:rPr>
          <w:rFonts w:ascii="Cambria" w:hAnsi="Cambria"/>
        </w:rPr>
      </w:pPr>
      <w:r w:rsidRPr="00E930A5">
        <w:rPr>
          <w:rFonts w:ascii="Cambria" w:hAnsi="Cambria"/>
          <w:b/>
          <w:bCs/>
        </w:rPr>
        <w:t>Etiqueta Ecológica:</w:t>
      </w:r>
      <w:r w:rsidRPr="00E930A5">
        <w:rPr>
          <w:rFonts w:ascii="Cambria" w:hAnsi="Cambria"/>
        </w:rPr>
        <w:t xml:space="preserve"> Distintivo voluntario para productos con impacto reducido en su ciclo de vida.</w:t>
      </w:r>
    </w:p>
    <w:p w14:paraId="116BD499" w14:textId="77777777" w:rsidR="005F3AC6" w:rsidRPr="00E930A5" w:rsidRDefault="005F3AC6" w:rsidP="005F3AC6">
      <w:pPr>
        <w:numPr>
          <w:ilvl w:val="1"/>
          <w:numId w:val="20"/>
        </w:numPr>
        <w:jc w:val="both"/>
        <w:rPr>
          <w:rFonts w:ascii="Cambria" w:hAnsi="Cambria"/>
        </w:rPr>
      </w:pPr>
      <w:r w:rsidRPr="00E930A5">
        <w:rPr>
          <w:rFonts w:ascii="Cambria" w:hAnsi="Cambria"/>
          <w:b/>
          <w:bCs/>
        </w:rPr>
        <w:t>EMAS:</w:t>
      </w:r>
      <w:r w:rsidRPr="00E930A5">
        <w:rPr>
          <w:rFonts w:ascii="Cambria" w:hAnsi="Cambria"/>
        </w:rPr>
        <w:t xml:space="preserve"> Sistema comunitario de gestión y auditoría medioambiental para empresas que evalúan y mejoran su desempeño ambiental (validado por verificadores).</w:t>
      </w:r>
    </w:p>
    <w:p w14:paraId="70C7A894" w14:textId="77777777" w:rsidR="005F3AC6" w:rsidRPr="00E930A5" w:rsidRDefault="005F3AC6" w:rsidP="005F3AC6">
      <w:pPr>
        <w:numPr>
          <w:ilvl w:val="1"/>
          <w:numId w:val="20"/>
        </w:numPr>
        <w:jc w:val="both"/>
        <w:rPr>
          <w:rFonts w:ascii="Cambria" w:hAnsi="Cambria"/>
        </w:rPr>
      </w:pPr>
      <w:r w:rsidRPr="00E930A5">
        <w:rPr>
          <w:rFonts w:ascii="Cambria" w:hAnsi="Cambria"/>
          <w:b/>
          <w:bCs/>
        </w:rPr>
        <w:t>Sensibilización:</w:t>
      </w:r>
      <w:r w:rsidRPr="00E930A5">
        <w:rPr>
          <w:rFonts w:ascii="Cambria" w:hAnsi="Cambria"/>
        </w:rPr>
        <w:t xml:space="preserve"> Semana Verde y premios Capital Verde Europea.</w:t>
      </w:r>
    </w:p>
    <w:p w14:paraId="369B1C0B" w14:textId="77777777" w:rsidR="005F3AC6" w:rsidRPr="00E930A5" w:rsidRDefault="005F3AC6" w:rsidP="005F3AC6">
      <w:pPr>
        <w:numPr>
          <w:ilvl w:val="1"/>
          <w:numId w:val="20"/>
        </w:numPr>
        <w:jc w:val="both"/>
        <w:rPr>
          <w:rFonts w:ascii="Cambria" w:hAnsi="Cambria"/>
        </w:rPr>
      </w:pPr>
      <w:r w:rsidRPr="00E930A5">
        <w:rPr>
          <w:rFonts w:ascii="Cambria" w:hAnsi="Cambria"/>
          <w:b/>
          <w:bCs/>
        </w:rPr>
        <w:t>Cooperación:</w:t>
      </w:r>
      <w:r w:rsidRPr="00E930A5">
        <w:rPr>
          <w:rFonts w:ascii="Cambria" w:hAnsi="Cambria"/>
        </w:rPr>
        <w:t xml:space="preserve"> Asistencia a países candidatos y Política de Vecindad para abordar problemas transfronterizos.</w:t>
      </w:r>
    </w:p>
    <w:p w14:paraId="778FA996" w14:textId="77777777" w:rsidR="005F3AC6" w:rsidRPr="00E930A5" w:rsidRDefault="005F3AC6" w:rsidP="005F3AC6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E930A5">
        <w:rPr>
          <w:rFonts w:ascii="Cambria" w:hAnsi="Cambria"/>
          <w:b/>
          <w:bCs/>
          <w:color w:val="auto"/>
          <w:sz w:val="28"/>
          <w:szCs w:val="28"/>
        </w:rPr>
        <w:lastRenderedPageBreak/>
        <w:t>6. FINANCIACIÓN</w:t>
      </w:r>
    </w:p>
    <w:p w14:paraId="5D69C64B" w14:textId="77777777" w:rsidR="005F3AC6" w:rsidRPr="00E930A5" w:rsidRDefault="005F3AC6" w:rsidP="005F3AC6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E930A5">
        <w:rPr>
          <w:rFonts w:ascii="Cambria" w:hAnsi="Cambria"/>
          <w:b/>
          <w:bCs/>
          <w:color w:val="auto"/>
          <w:sz w:val="24"/>
          <w:szCs w:val="24"/>
        </w:rPr>
        <w:t>6.1. Programa LIFE</w:t>
      </w:r>
    </w:p>
    <w:p w14:paraId="3DE90D2E" w14:textId="77777777" w:rsidR="005F3AC6" w:rsidRPr="00E930A5" w:rsidRDefault="005F3AC6" w:rsidP="005F3AC6">
      <w:pPr>
        <w:numPr>
          <w:ilvl w:val="1"/>
          <w:numId w:val="21"/>
        </w:numPr>
        <w:jc w:val="both"/>
        <w:rPr>
          <w:rFonts w:ascii="Cambria" w:hAnsi="Cambria"/>
        </w:rPr>
      </w:pPr>
      <w:r w:rsidRPr="00E930A5">
        <w:rPr>
          <w:rFonts w:ascii="Cambria" w:hAnsi="Cambria"/>
        </w:rPr>
        <w:t>Instrumento financiero específico creado en 1992.</w:t>
      </w:r>
    </w:p>
    <w:p w14:paraId="30AB60B3" w14:textId="77777777" w:rsidR="005F3AC6" w:rsidRPr="00E930A5" w:rsidRDefault="005F3AC6" w:rsidP="005F3AC6">
      <w:pPr>
        <w:numPr>
          <w:ilvl w:val="1"/>
          <w:numId w:val="21"/>
        </w:numPr>
        <w:jc w:val="both"/>
        <w:rPr>
          <w:rFonts w:ascii="Cambria" w:hAnsi="Cambria"/>
        </w:rPr>
      </w:pPr>
      <w:r w:rsidRPr="00E930A5">
        <w:rPr>
          <w:rFonts w:ascii="Cambria" w:hAnsi="Cambria"/>
        </w:rPr>
        <w:t>Periodo 2021-2027: Presupuesto de 5.432 M€ (aumento del 57%).</w:t>
      </w:r>
    </w:p>
    <w:p w14:paraId="39A97557" w14:textId="77777777" w:rsidR="005F3AC6" w:rsidRPr="00E930A5" w:rsidRDefault="005F3AC6" w:rsidP="005F3AC6">
      <w:pPr>
        <w:numPr>
          <w:ilvl w:val="1"/>
          <w:numId w:val="21"/>
        </w:numPr>
        <w:jc w:val="both"/>
        <w:rPr>
          <w:rFonts w:ascii="Cambria" w:hAnsi="Cambria"/>
        </w:rPr>
      </w:pPr>
      <w:r w:rsidRPr="00E930A5">
        <w:rPr>
          <w:rFonts w:ascii="Cambria" w:hAnsi="Cambria"/>
        </w:rPr>
        <w:t>Estructura en dos áreas y cuatro subprogramas:</w:t>
      </w:r>
    </w:p>
    <w:p w14:paraId="35075AEE" w14:textId="77777777" w:rsidR="005F3AC6" w:rsidRPr="00E930A5" w:rsidRDefault="005F3AC6" w:rsidP="005F3AC6">
      <w:pPr>
        <w:numPr>
          <w:ilvl w:val="2"/>
          <w:numId w:val="21"/>
        </w:numPr>
        <w:jc w:val="both"/>
        <w:rPr>
          <w:rFonts w:ascii="Cambria" w:hAnsi="Cambria"/>
        </w:rPr>
      </w:pPr>
      <w:r w:rsidRPr="00E930A5">
        <w:rPr>
          <w:rFonts w:ascii="Cambria" w:hAnsi="Cambria"/>
        </w:rPr>
        <w:t>Medio Ambiente: Naturaleza y Biodiversidad / Economía Circular y Calidad de Vida.</w:t>
      </w:r>
    </w:p>
    <w:p w14:paraId="76382B82" w14:textId="77777777" w:rsidR="005F3AC6" w:rsidRPr="00E930A5" w:rsidRDefault="005F3AC6" w:rsidP="005F3AC6">
      <w:pPr>
        <w:numPr>
          <w:ilvl w:val="2"/>
          <w:numId w:val="21"/>
        </w:numPr>
        <w:jc w:val="both"/>
        <w:rPr>
          <w:rFonts w:ascii="Cambria" w:hAnsi="Cambria"/>
        </w:rPr>
      </w:pPr>
      <w:r w:rsidRPr="00E930A5">
        <w:rPr>
          <w:rFonts w:ascii="Cambria" w:hAnsi="Cambria"/>
        </w:rPr>
        <w:t>Acción por el Clima: Mitigación y Adaptación / Transición hacia Energías Limpias.</w:t>
      </w:r>
    </w:p>
    <w:p w14:paraId="63EA0C44" w14:textId="77777777" w:rsidR="005F3AC6" w:rsidRPr="00E930A5" w:rsidRDefault="005F3AC6" w:rsidP="005F3AC6">
      <w:pPr>
        <w:numPr>
          <w:ilvl w:val="1"/>
          <w:numId w:val="21"/>
        </w:numPr>
        <w:jc w:val="both"/>
        <w:rPr>
          <w:rFonts w:ascii="Cambria" w:hAnsi="Cambria"/>
        </w:rPr>
      </w:pPr>
      <w:r w:rsidRPr="00E930A5">
        <w:rPr>
          <w:rFonts w:ascii="Cambria" w:hAnsi="Cambria"/>
        </w:rPr>
        <w:t>Objetivos: Catalizar soluciones innovadoras, apoyar la red Natura 2000 y contribuir al Pacto Verde.</w:t>
      </w:r>
    </w:p>
    <w:p w14:paraId="24E5783A" w14:textId="77777777" w:rsidR="005F3AC6" w:rsidRPr="00E930A5" w:rsidRDefault="005F3AC6" w:rsidP="005F3AC6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E930A5">
        <w:rPr>
          <w:rFonts w:ascii="Cambria" w:hAnsi="Cambria"/>
          <w:b/>
          <w:bCs/>
          <w:color w:val="auto"/>
          <w:sz w:val="28"/>
          <w:szCs w:val="28"/>
        </w:rPr>
        <w:t>7. CONCLUSIÓN</w:t>
      </w:r>
    </w:p>
    <w:p w14:paraId="124215A6" w14:textId="77777777" w:rsidR="005F3AC6" w:rsidRPr="00E930A5" w:rsidRDefault="005F3AC6" w:rsidP="005F3AC6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E930A5">
        <w:rPr>
          <w:rFonts w:ascii="Cambria" w:hAnsi="Cambria"/>
          <w:b/>
          <w:bCs/>
          <w:color w:val="auto"/>
          <w:sz w:val="24"/>
          <w:szCs w:val="24"/>
        </w:rPr>
        <w:t>7.1. Transformación y Futuro</w:t>
      </w:r>
    </w:p>
    <w:p w14:paraId="0C454D36" w14:textId="77777777" w:rsidR="005F3AC6" w:rsidRPr="00E930A5" w:rsidRDefault="005F3AC6" w:rsidP="005F3AC6">
      <w:pPr>
        <w:numPr>
          <w:ilvl w:val="1"/>
          <w:numId w:val="22"/>
        </w:numPr>
        <w:jc w:val="both"/>
        <w:rPr>
          <w:rFonts w:ascii="Cambria" w:hAnsi="Cambria"/>
        </w:rPr>
      </w:pPr>
      <w:r w:rsidRPr="00E930A5">
        <w:rPr>
          <w:rFonts w:ascii="Cambria" w:hAnsi="Cambria"/>
        </w:rPr>
        <w:t>Necesidad de transformar la economía para obtener más valor con menos recursos, integrando el medioambiente en la economía.</w:t>
      </w:r>
    </w:p>
    <w:p w14:paraId="59AFC42B" w14:textId="77777777" w:rsidR="005F3AC6" w:rsidRPr="00E930A5" w:rsidRDefault="005F3AC6" w:rsidP="005F3AC6">
      <w:pPr>
        <w:numPr>
          <w:ilvl w:val="1"/>
          <w:numId w:val="22"/>
        </w:numPr>
        <w:jc w:val="both"/>
        <w:rPr>
          <w:rFonts w:ascii="Cambria" w:hAnsi="Cambria"/>
        </w:rPr>
      </w:pPr>
      <w:r w:rsidRPr="00E930A5">
        <w:rPr>
          <w:rFonts w:ascii="Cambria" w:hAnsi="Cambria"/>
        </w:rPr>
        <w:t>La UE dispone de tecnología, cultura de prevención y legislación sólida para liderar esta transición y proporcionar estabilidad normativa.</w:t>
      </w:r>
    </w:p>
    <w:p w14:paraId="6F6F620E" w14:textId="77777777" w:rsidR="00A65383" w:rsidRPr="00E930A5" w:rsidRDefault="00A65383" w:rsidP="005F3AC6">
      <w:pPr>
        <w:jc w:val="both"/>
        <w:rPr>
          <w:rFonts w:ascii="Cambria" w:hAnsi="Cambria"/>
        </w:rPr>
      </w:pPr>
    </w:p>
    <w:sectPr w:rsidR="00A65383" w:rsidRPr="00E930A5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6944B" w14:textId="77777777" w:rsidR="00F45F1D" w:rsidRDefault="00F45F1D" w:rsidP="00F45F1D">
      <w:pPr>
        <w:spacing w:after="0" w:line="240" w:lineRule="auto"/>
      </w:pPr>
      <w:r>
        <w:separator/>
      </w:r>
    </w:p>
  </w:endnote>
  <w:endnote w:type="continuationSeparator" w:id="0">
    <w:p w14:paraId="35A0C4FC" w14:textId="77777777" w:rsidR="00F45F1D" w:rsidRDefault="00F45F1D" w:rsidP="00F45F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CE4F0" w14:textId="77777777" w:rsidR="00F45F1D" w:rsidRDefault="00F45F1D" w:rsidP="00F45F1D">
      <w:pPr>
        <w:spacing w:after="0" w:line="240" w:lineRule="auto"/>
      </w:pPr>
      <w:r>
        <w:separator/>
      </w:r>
    </w:p>
  </w:footnote>
  <w:footnote w:type="continuationSeparator" w:id="0">
    <w:p w14:paraId="68563347" w14:textId="77777777" w:rsidR="00F45F1D" w:rsidRDefault="00F45F1D" w:rsidP="00F45F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0D289" w14:textId="613AB25C" w:rsidR="00F45F1D" w:rsidRPr="00F45F1D" w:rsidRDefault="00F45F1D" w:rsidP="00F45F1D">
    <w:pPr>
      <w:pStyle w:val="Encabezado"/>
      <w:jc w:val="both"/>
      <w:rPr>
        <w:rFonts w:ascii="Palatino Linotype" w:hAnsi="Palatino Linotype"/>
        <w:i/>
        <w:iCs/>
      </w:rPr>
    </w:pPr>
    <w:r w:rsidRPr="00F45F1D">
      <w:rPr>
        <w:rFonts w:ascii="Palatino Linotype" w:hAnsi="Palatino Linotype"/>
        <w:b/>
        <w:bCs/>
        <w:i/>
        <w:iCs/>
      </w:rPr>
      <w:t>TEMA 51 -</w:t>
    </w:r>
    <w:r w:rsidRPr="00F45F1D">
      <w:rPr>
        <w:rFonts w:ascii="Palatino Linotype" w:hAnsi="Palatino Linotype"/>
        <w:i/>
        <w:iCs/>
      </w:rPr>
      <w:t xml:space="preserve"> Política de medio ambiente de la Unión Europea y compromisos internacionales en la materia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21D1A"/>
    <w:multiLevelType w:val="multilevel"/>
    <w:tmpl w:val="4D0E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8593D"/>
    <w:multiLevelType w:val="multilevel"/>
    <w:tmpl w:val="5E0E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34780"/>
    <w:multiLevelType w:val="multilevel"/>
    <w:tmpl w:val="624A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B5689"/>
    <w:multiLevelType w:val="multilevel"/>
    <w:tmpl w:val="07D2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D2FD2"/>
    <w:multiLevelType w:val="multilevel"/>
    <w:tmpl w:val="9924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8058E8"/>
    <w:multiLevelType w:val="multilevel"/>
    <w:tmpl w:val="F982A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1108CF"/>
    <w:multiLevelType w:val="multilevel"/>
    <w:tmpl w:val="52AC0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D55D8E"/>
    <w:multiLevelType w:val="multilevel"/>
    <w:tmpl w:val="A682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066220"/>
    <w:multiLevelType w:val="multilevel"/>
    <w:tmpl w:val="40B4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CA53F7"/>
    <w:multiLevelType w:val="multilevel"/>
    <w:tmpl w:val="0204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820A11"/>
    <w:multiLevelType w:val="multilevel"/>
    <w:tmpl w:val="D2CC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2F10E3"/>
    <w:multiLevelType w:val="multilevel"/>
    <w:tmpl w:val="28F4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8B597A"/>
    <w:multiLevelType w:val="multilevel"/>
    <w:tmpl w:val="F196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A95200"/>
    <w:multiLevelType w:val="multilevel"/>
    <w:tmpl w:val="4042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BC25C4"/>
    <w:multiLevelType w:val="multilevel"/>
    <w:tmpl w:val="1F50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B86C3A"/>
    <w:multiLevelType w:val="multilevel"/>
    <w:tmpl w:val="516E7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BF5C7F"/>
    <w:multiLevelType w:val="multilevel"/>
    <w:tmpl w:val="5742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92607E"/>
    <w:multiLevelType w:val="multilevel"/>
    <w:tmpl w:val="F6CE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52607F"/>
    <w:multiLevelType w:val="multilevel"/>
    <w:tmpl w:val="7894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6B581F"/>
    <w:multiLevelType w:val="multilevel"/>
    <w:tmpl w:val="B446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E20899"/>
    <w:multiLevelType w:val="multilevel"/>
    <w:tmpl w:val="F6B4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473DDF"/>
    <w:multiLevelType w:val="multilevel"/>
    <w:tmpl w:val="A3B0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3293885">
    <w:abstractNumId w:val="18"/>
  </w:num>
  <w:num w:numId="2" w16cid:durableId="839660791">
    <w:abstractNumId w:val="16"/>
  </w:num>
  <w:num w:numId="3" w16cid:durableId="1032000069">
    <w:abstractNumId w:val="5"/>
  </w:num>
  <w:num w:numId="4" w16cid:durableId="1379359284">
    <w:abstractNumId w:val="0"/>
  </w:num>
  <w:num w:numId="5" w16cid:durableId="1285502671">
    <w:abstractNumId w:val="13"/>
  </w:num>
  <w:num w:numId="6" w16cid:durableId="2084795567">
    <w:abstractNumId w:val="17"/>
  </w:num>
  <w:num w:numId="7" w16cid:durableId="185749794">
    <w:abstractNumId w:val="6"/>
  </w:num>
  <w:num w:numId="8" w16cid:durableId="387802750">
    <w:abstractNumId w:val="8"/>
  </w:num>
  <w:num w:numId="9" w16cid:durableId="233441520">
    <w:abstractNumId w:val="9"/>
  </w:num>
  <w:num w:numId="10" w16cid:durableId="217211470">
    <w:abstractNumId w:val="2"/>
  </w:num>
  <w:num w:numId="11" w16cid:durableId="2017994162">
    <w:abstractNumId w:val="1"/>
  </w:num>
  <w:num w:numId="12" w16cid:durableId="1926762243">
    <w:abstractNumId w:val="21"/>
  </w:num>
  <w:num w:numId="13" w16cid:durableId="369115168">
    <w:abstractNumId w:val="4"/>
  </w:num>
  <w:num w:numId="14" w16cid:durableId="1244682511">
    <w:abstractNumId w:val="15"/>
  </w:num>
  <w:num w:numId="15" w16cid:durableId="248537496">
    <w:abstractNumId w:val="20"/>
  </w:num>
  <w:num w:numId="16" w16cid:durableId="537013235">
    <w:abstractNumId w:val="19"/>
  </w:num>
  <w:num w:numId="17" w16cid:durableId="2143303991">
    <w:abstractNumId w:val="10"/>
  </w:num>
  <w:num w:numId="18" w16cid:durableId="1726291554">
    <w:abstractNumId w:val="7"/>
  </w:num>
  <w:num w:numId="19" w16cid:durableId="381253249">
    <w:abstractNumId w:val="12"/>
  </w:num>
  <w:num w:numId="20" w16cid:durableId="1585651091">
    <w:abstractNumId w:val="3"/>
  </w:num>
  <w:num w:numId="21" w16cid:durableId="2030912124">
    <w:abstractNumId w:val="14"/>
  </w:num>
  <w:num w:numId="22" w16cid:durableId="143760360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F1D"/>
    <w:rsid w:val="00106D8F"/>
    <w:rsid w:val="002B1F94"/>
    <w:rsid w:val="005803BC"/>
    <w:rsid w:val="005F3AC6"/>
    <w:rsid w:val="00722ACC"/>
    <w:rsid w:val="00A65383"/>
    <w:rsid w:val="00A8675C"/>
    <w:rsid w:val="00C12CFD"/>
    <w:rsid w:val="00E930A5"/>
    <w:rsid w:val="00EC1246"/>
    <w:rsid w:val="00F45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AFFAC"/>
  <w15:chartTrackingRefBased/>
  <w15:docId w15:val="{549EA031-979C-4915-97E1-C745687C7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5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45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5F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5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5F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5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5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5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5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8675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F45F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45F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5F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5F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5F1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5F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5F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5F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5F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5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5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5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5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5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5F1D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F45F1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5F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5F1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5F1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45F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5F1D"/>
  </w:style>
  <w:style w:type="paragraph" w:styleId="Piedepgina">
    <w:name w:val="footer"/>
    <w:basedOn w:val="Normal"/>
    <w:link w:val="PiedepginaCar"/>
    <w:uiPriority w:val="99"/>
    <w:unhideWhenUsed/>
    <w:rsid w:val="00F45F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5F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1060</Words>
  <Characters>6216</Characters>
  <Application>Microsoft Office Word</Application>
  <DocSecurity>0</DocSecurity>
  <Lines>148</Lines>
  <Paragraphs>88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Argudo Santiago, Sergio</dc:creator>
  <cp:keywords/>
  <dc:description/>
  <cp:lastModifiedBy>Argudo Santiago, Sergio</cp:lastModifiedBy>
  <cp:revision>3</cp:revision>
  <dcterms:created xsi:type="dcterms:W3CDTF">2025-12-10T12:12:00Z</dcterms:created>
  <dcterms:modified xsi:type="dcterms:W3CDTF">2026-01-14T09:00:00Z</dcterms:modified>
</cp:coreProperties>
</file>