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0741" w14:textId="77777777" w:rsidR="00912DB0" w:rsidRPr="004A77F5" w:rsidRDefault="00912DB0" w:rsidP="00912DB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A77F5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72483209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1.1. Contexto y Origen</w:t>
      </w:r>
    </w:p>
    <w:p w14:paraId="56B472E9" w14:textId="77777777" w:rsidR="00912DB0" w:rsidRPr="004A77F5" w:rsidRDefault="00912DB0" w:rsidP="00912DB0">
      <w:pPr>
        <w:numPr>
          <w:ilvl w:val="1"/>
          <w:numId w:val="13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creación del Mercado Común exige suprimir barreras a la libre circulación, incluyendo restricciones impuestas por operadores privados.</w:t>
      </w:r>
    </w:p>
    <w:p w14:paraId="63A9475C" w14:textId="77777777" w:rsidR="00912DB0" w:rsidRPr="004A77F5" w:rsidRDefault="00912DB0" w:rsidP="00912DB0">
      <w:pPr>
        <w:numPr>
          <w:ilvl w:val="1"/>
          <w:numId w:val="13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Política de Competencia ha sido fundamental desde los Tratados de Roma (1958), siendo una de las cuatro políticas comunes iniciales junto con la Agrícola, Comercial y de Transportes.</w:t>
      </w:r>
    </w:p>
    <w:p w14:paraId="702371C8" w14:textId="77777777" w:rsidR="00912DB0" w:rsidRPr="004A77F5" w:rsidRDefault="00912DB0" w:rsidP="00912DB0">
      <w:pPr>
        <w:numPr>
          <w:ilvl w:val="1"/>
          <w:numId w:val="13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Su objetivo es crear normas efectivas para garantizar el correcto funcionamiento del mercado y proporcionar a los consumidores los beneficios de un sistema de mercado libre.</w:t>
      </w:r>
    </w:p>
    <w:p w14:paraId="1AD0EBF0" w14:textId="77777777" w:rsidR="00912DB0" w:rsidRPr="004A77F5" w:rsidRDefault="00912DB0" w:rsidP="00912DB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A77F5">
        <w:rPr>
          <w:rFonts w:ascii="Cambria" w:hAnsi="Cambria"/>
          <w:b/>
          <w:bCs/>
          <w:color w:val="auto"/>
          <w:sz w:val="28"/>
          <w:szCs w:val="28"/>
        </w:rPr>
        <w:t>2. OBJETIVOS Y FUNCIONAMIENTO</w:t>
      </w:r>
    </w:p>
    <w:p w14:paraId="5BF8076A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2.1. Objetivos Principales</w:t>
      </w:r>
    </w:p>
    <w:p w14:paraId="5541544F" w14:textId="77777777" w:rsidR="00912DB0" w:rsidRPr="004A77F5" w:rsidRDefault="00912DB0" w:rsidP="00912DB0">
      <w:pPr>
        <w:numPr>
          <w:ilvl w:val="1"/>
          <w:numId w:val="14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Garantizar que las empresas compitan de forma equitativa, fomentando la actividad empresarial, la eficiencia y mejorando la elección, calidad y precios para el consumidor.</w:t>
      </w:r>
    </w:p>
    <w:p w14:paraId="464C3CA1" w14:textId="77777777" w:rsidR="00912DB0" w:rsidRPr="004A77F5" w:rsidRDefault="00912DB0" w:rsidP="00912DB0">
      <w:pPr>
        <w:numPr>
          <w:ilvl w:val="1"/>
          <w:numId w:val="14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Se busca conseguir precios más bajos, mejor calidad (durabilidad, servicio postventa), una oferta más amplia, mayor innovación y reforzar la competitividad en mercados globales.</w:t>
      </w:r>
    </w:p>
    <w:p w14:paraId="75BED5D6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2.2. Aplicación de las Normas</w:t>
      </w:r>
    </w:p>
    <w:p w14:paraId="351E5B6B" w14:textId="77777777" w:rsidR="00912DB0" w:rsidRPr="004A77F5" w:rsidRDefault="00912DB0" w:rsidP="00912DB0">
      <w:pPr>
        <w:numPr>
          <w:ilvl w:val="1"/>
          <w:numId w:val="14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Comisión Europea tiene facultades para investigar, adoptar decisiones vinculantes e imponer multas (desde 1962 para comportamientos anticompetitivos y desde 1990 para concentraciones).</w:t>
      </w:r>
    </w:p>
    <w:p w14:paraId="68A5E844" w14:textId="77777777" w:rsidR="00912DB0" w:rsidRPr="004A77F5" w:rsidRDefault="00912DB0" w:rsidP="00912DB0">
      <w:pPr>
        <w:numPr>
          <w:ilvl w:val="1"/>
          <w:numId w:val="14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Las autoridades de competencia de los Estados miembros (ANC) también aplican las normas de la UE y tienen facultades similares.</w:t>
      </w:r>
    </w:p>
    <w:p w14:paraId="3FCC7516" w14:textId="77777777" w:rsidR="00912DB0" w:rsidRPr="004A77F5" w:rsidRDefault="00912DB0" w:rsidP="00912DB0">
      <w:pPr>
        <w:numPr>
          <w:ilvl w:val="1"/>
          <w:numId w:val="14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Comisión y las ANC se coordinan a través de la Red Europea de Competencia (REC) para garantizar una aplicación coherente.</w:t>
      </w:r>
    </w:p>
    <w:p w14:paraId="21B4948D" w14:textId="77777777" w:rsidR="00912DB0" w:rsidRPr="004A77F5" w:rsidRDefault="00912DB0" w:rsidP="00912DB0">
      <w:pPr>
        <w:numPr>
          <w:ilvl w:val="1"/>
          <w:numId w:val="14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Los tribunales nacionales pueden aplicar la normativa y los afectados pueden reclamar daños y perjuicios (reforzado por la Directiva 2014/104/UE).</w:t>
      </w:r>
    </w:p>
    <w:p w14:paraId="27B3AA9C" w14:textId="77777777" w:rsidR="00912DB0" w:rsidRPr="004A77F5" w:rsidRDefault="00912DB0" w:rsidP="00912DB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A77F5">
        <w:rPr>
          <w:rFonts w:ascii="Cambria" w:hAnsi="Cambria"/>
          <w:b/>
          <w:bCs/>
          <w:color w:val="auto"/>
          <w:sz w:val="28"/>
          <w:szCs w:val="28"/>
        </w:rPr>
        <w:lastRenderedPageBreak/>
        <w:t>3. MARCO BÁSICO DE ACTUACIÓN</w:t>
      </w:r>
    </w:p>
    <w:p w14:paraId="32A4DDCB" w14:textId="6DCE4F3F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3.1. Defensa de la Competencia</w:t>
      </w:r>
    </w:p>
    <w:p w14:paraId="79DD7448" w14:textId="53CCBDC1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  <w:b/>
          <w:bCs/>
        </w:rPr>
        <w:t>Acuerdos contrarios a la competencia:</w:t>
      </w:r>
      <w:r w:rsidRPr="004A77F5">
        <w:rPr>
          <w:rFonts w:ascii="Cambria" w:hAnsi="Cambria"/>
        </w:rPr>
        <w:t xml:space="preserve"> El Artículo 101 del TFUE prohíbe acuerdos que restrinjan la competencia (fijar precios, limitar producción, repartir mercados), tanto horizontales</w:t>
      </w:r>
      <w:r w:rsidR="004A77F5">
        <w:rPr>
          <w:rFonts w:ascii="Cambria" w:hAnsi="Cambria"/>
        </w:rPr>
        <w:t xml:space="preserve"> (R UE 2023/1066 y R UE</w:t>
      </w:r>
      <w:r w:rsidRPr="004A77F5">
        <w:rPr>
          <w:rFonts w:ascii="Cambria" w:hAnsi="Cambria"/>
        </w:rPr>
        <w:t xml:space="preserve"> </w:t>
      </w:r>
      <w:r w:rsidR="004A77F5">
        <w:rPr>
          <w:rFonts w:ascii="Cambria" w:hAnsi="Cambria"/>
        </w:rPr>
        <w:t xml:space="preserve">2023/1067) </w:t>
      </w:r>
      <w:r w:rsidRPr="004A77F5">
        <w:rPr>
          <w:rFonts w:ascii="Cambria" w:hAnsi="Cambria"/>
        </w:rPr>
        <w:t>como verticales</w:t>
      </w:r>
      <w:r w:rsidR="004A77F5">
        <w:rPr>
          <w:rFonts w:ascii="Cambria" w:hAnsi="Cambria"/>
        </w:rPr>
        <w:t xml:space="preserve"> (R 2022/720)</w:t>
      </w:r>
      <w:r w:rsidRPr="004A77F5">
        <w:rPr>
          <w:rFonts w:ascii="Cambria" w:hAnsi="Cambria"/>
        </w:rPr>
        <w:t>. Se permiten excepciones si tienen efectos positivos (I+D, normas técnicas) y benefician al consumidor.</w:t>
      </w:r>
    </w:p>
    <w:p w14:paraId="3FC2EF8F" w14:textId="70EDEDFB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  <w:b/>
          <w:bCs/>
        </w:rPr>
        <w:t>Cárteles:</w:t>
      </w:r>
      <w:r w:rsidRPr="004A77F5">
        <w:rPr>
          <w:rFonts w:ascii="Cambria" w:hAnsi="Cambria"/>
        </w:rPr>
        <w:t xml:space="preserve"> Son ilegales y perjudiciales. La Comisión aplica una política de clemencia (dispensa o reducción de multas para quienes confiesen y aporten pruebas) y un mecanismo de transacción (reducción del 10% por reconocer la infracción).</w:t>
      </w:r>
    </w:p>
    <w:p w14:paraId="346D0F1A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  <w:b/>
          <w:bCs/>
        </w:rPr>
        <w:t>Abuso de posición dominante:</w:t>
      </w:r>
      <w:r w:rsidRPr="004A77F5">
        <w:rPr>
          <w:rFonts w:ascii="Cambria" w:hAnsi="Cambria"/>
        </w:rPr>
        <w:t xml:space="preserve"> El Artículo 102 del TFUE prohíbe que empresas dominantes eliminen la competencia mediante precios abusivos, predatorios, ventas vinculadas o negativa de suministro.</w:t>
      </w:r>
    </w:p>
    <w:p w14:paraId="56E91D3A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3.2. Ayudas Estatales</w:t>
      </w:r>
    </w:p>
    <w:p w14:paraId="48133088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Prohibición general (Artículo 107 TFUE) de ayudas públicas que falseen la competencia favoreciendo a determinadas empresas o sectores.</w:t>
      </w:r>
    </w:p>
    <w:p w14:paraId="2339B1EA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Comisión autoriza ayudas solo si son de interés público (investigación, desarrollo regional, PYMES, o remedio a graves perturbaciones económicas como crisis financieras o pandemias).</w:t>
      </w:r>
    </w:p>
    <w:p w14:paraId="776B360C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Los gobiernos deben notificar las ayudas a la Comisión, que puede ordenar su recuperación si son ilegales.</w:t>
      </w:r>
    </w:p>
    <w:p w14:paraId="6705549B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Se ha establecido un marco de modernización para centrarse en casos con mayor impacto en el mercado interior.</w:t>
      </w:r>
    </w:p>
    <w:p w14:paraId="528BAE07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3.3. Concentraciones</w:t>
      </w:r>
    </w:p>
    <w:p w14:paraId="53A015B6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El Reglamento (CE) 139/2004 otorga a la Comisión la facultad de controlar fusiones que puedan reducir significativamente la competencia.</w:t>
      </w:r>
    </w:p>
    <w:p w14:paraId="3F6DD8C9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Las operaciones con dimensión comunitaria (según umbrales de volumen de negocios) deben notificarse y autorizarse antes de ejecutarse.</w:t>
      </w:r>
    </w:p>
    <w:p w14:paraId="74225F8C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Comisión puede aprobar la fusión (con o sin condiciones para mantener la competencia) o prohibirla si crea o consolida una posición dominante perjudicial.</w:t>
      </w:r>
    </w:p>
    <w:p w14:paraId="65B87777" w14:textId="77777777" w:rsidR="00912DB0" w:rsidRPr="004A77F5" w:rsidRDefault="00912DB0" w:rsidP="00912DB0">
      <w:pPr>
        <w:pStyle w:val="Ttulo2"/>
        <w:jc w:val="both"/>
        <w:rPr>
          <w:rFonts w:ascii="Cambria" w:hAnsi="Cambria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lastRenderedPageBreak/>
        <w:t>3.4. Liberalización</w:t>
      </w:r>
    </w:p>
    <w:p w14:paraId="70CC08F0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Apertura a la competencia de sectores bajo monopolio (telecomunicaciones, energía, transporte), garantizando el acceso equitativo a las redes.</w:t>
      </w:r>
    </w:p>
    <w:p w14:paraId="5E7FD0ED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Se mantienen obligaciones de servicio público (Servicios de Interés Económico General) para asegurar el acceso universal, incluso en áreas no rentables.</w:t>
      </w:r>
    </w:p>
    <w:p w14:paraId="687F0A1C" w14:textId="77777777" w:rsidR="00912DB0" w:rsidRPr="004A77F5" w:rsidRDefault="00912DB0" w:rsidP="00912DB0">
      <w:pPr>
        <w:numPr>
          <w:ilvl w:val="1"/>
          <w:numId w:val="15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liberalización busca reducir precios y mejorar la eficiencia, aunque los resultados varían según el sector.</w:t>
      </w:r>
    </w:p>
    <w:p w14:paraId="6CB3B13B" w14:textId="77777777" w:rsidR="00912DB0" w:rsidRPr="004A77F5" w:rsidRDefault="00912DB0" w:rsidP="00912DB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A77F5">
        <w:rPr>
          <w:rFonts w:ascii="Cambria" w:hAnsi="Cambria"/>
          <w:b/>
          <w:bCs/>
          <w:color w:val="auto"/>
          <w:sz w:val="28"/>
          <w:szCs w:val="28"/>
        </w:rPr>
        <w:t>4. RESULTADO DE LA APLICACIÓN DE LA POLÍTICA</w:t>
      </w:r>
    </w:p>
    <w:p w14:paraId="44A31533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4.1. Beneficios y Sanciones</w:t>
      </w:r>
    </w:p>
    <w:p w14:paraId="3F712D9A" w14:textId="77777777" w:rsidR="00912DB0" w:rsidRPr="004A77F5" w:rsidRDefault="00912DB0" w:rsidP="00912DB0">
      <w:pPr>
        <w:numPr>
          <w:ilvl w:val="1"/>
          <w:numId w:val="16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Las decisiones de la Comisión han generado beneficios para el consumidor y las multas reducen las aportaciones de los Estados miembros al presupuesto de la UE.</w:t>
      </w:r>
    </w:p>
    <w:p w14:paraId="73EF523F" w14:textId="77777777" w:rsidR="00912DB0" w:rsidRPr="004A77F5" w:rsidRDefault="00912DB0" w:rsidP="00912DB0">
      <w:pPr>
        <w:numPr>
          <w:ilvl w:val="1"/>
          <w:numId w:val="16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Se han impuesto multas significativas en casos de abuso de posición dominante (Microsoft, Google), cárteles (pantallas, bancos, camiones) y se ha ordenado la recuperación de ayudas estatales ilegales (Apple, Amazon, clubes de fútbol).</w:t>
      </w:r>
    </w:p>
    <w:p w14:paraId="3F332AE8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4.2. Medidas ante Crisis</w:t>
      </w:r>
    </w:p>
    <w:p w14:paraId="2901CF0A" w14:textId="77777777" w:rsidR="00912DB0" w:rsidRPr="004A77F5" w:rsidRDefault="00912DB0" w:rsidP="00912DB0">
      <w:pPr>
        <w:numPr>
          <w:ilvl w:val="1"/>
          <w:numId w:val="16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Se adoptaron marcos temporales de ayudas estatales para apoyar a los bancos durante la crisis financiera y a las empresas durante la pandemia de COVID-19 y la guerra en Ucrania, adaptando la normativa a situaciones excepcionales.</w:t>
      </w:r>
    </w:p>
    <w:p w14:paraId="4570746B" w14:textId="77777777" w:rsidR="00912DB0" w:rsidRPr="004A77F5" w:rsidRDefault="00912DB0" w:rsidP="00912DB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A77F5">
        <w:rPr>
          <w:rFonts w:ascii="Cambria" w:hAnsi="Cambria"/>
          <w:b/>
          <w:bCs/>
          <w:color w:val="auto"/>
          <w:sz w:val="28"/>
          <w:szCs w:val="28"/>
        </w:rPr>
        <w:t>5. PROCEDIMIENTO PARA PRESENTAR UNA DENUNCIA</w:t>
      </w:r>
    </w:p>
    <w:p w14:paraId="062F1925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5.1. Vías de Actuación</w:t>
      </w:r>
    </w:p>
    <w:p w14:paraId="57E465F9" w14:textId="77777777" w:rsidR="00912DB0" w:rsidRPr="004A77F5" w:rsidRDefault="00912DB0" w:rsidP="00912DB0">
      <w:pPr>
        <w:numPr>
          <w:ilvl w:val="1"/>
          <w:numId w:val="17"/>
        </w:numPr>
        <w:jc w:val="both"/>
        <w:rPr>
          <w:rFonts w:ascii="Cambria" w:hAnsi="Cambria"/>
        </w:rPr>
      </w:pPr>
      <w:r w:rsidRPr="004A77F5">
        <w:rPr>
          <w:rFonts w:ascii="Cambria" w:hAnsi="Cambria"/>
          <w:b/>
          <w:bCs/>
        </w:rPr>
        <w:t>Autoridad Nacional de Competencia (ANC):</w:t>
      </w:r>
      <w:r w:rsidRPr="004A77F5">
        <w:rPr>
          <w:rFonts w:ascii="Cambria" w:hAnsi="Cambria"/>
        </w:rPr>
        <w:t xml:space="preserve"> Para casos circunscritos a un país o que impliquen a no más de 3 Estados miembros. En España, la Comisión Nacional de los Mercados y la Competencia (CNMC) es la autoridad competente.</w:t>
      </w:r>
    </w:p>
    <w:p w14:paraId="7028F0DF" w14:textId="77777777" w:rsidR="00912DB0" w:rsidRPr="004A77F5" w:rsidRDefault="00912DB0" w:rsidP="00912DB0">
      <w:pPr>
        <w:numPr>
          <w:ilvl w:val="1"/>
          <w:numId w:val="17"/>
        </w:numPr>
        <w:jc w:val="both"/>
        <w:rPr>
          <w:rFonts w:ascii="Cambria" w:hAnsi="Cambria"/>
        </w:rPr>
      </w:pPr>
      <w:r w:rsidRPr="004A77F5">
        <w:rPr>
          <w:rFonts w:ascii="Cambria" w:hAnsi="Cambria"/>
          <w:b/>
          <w:bCs/>
        </w:rPr>
        <w:t>Comisión Europea:</w:t>
      </w:r>
      <w:r w:rsidRPr="004A77F5">
        <w:rPr>
          <w:rFonts w:ascii="Cambria" w:hAnsi="Cambria"/>
        </w:rPr>
        <w:t xml:space="preserve"> Para casos que afecten a más de 3 Estados miembros. Se puede informar por correo electrónico o carta detallando la práctica.</w:t>
      </w:r>
    </w:p>
    <w:p w14:paraId="6DAD9F08" w14:textId="77777777" w:rsidR="00912DB0" w:rsidRPr="004A77F5" w:rsidRDefault="00912DB0" w:rsidP="00912DB0">
      <w:pPr>
        <w:numPr>
          <w:ilvl w:val="1"/>
          <w:numId w:val="17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Las asociaciones de consumidores también pueden reunir información y presentar denuncias formales.</w:t>
      </w:r>
    </w:p>
    <w:p w14:paraId="38BAF835" w14:textId="77777777" w:rsidR="00912DB0" w:rsidRPr="004A77F5" w:rsidRDefault="00912DB0" w:rsidP="00912DB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A77F5">
        <w:rPr>
          <w:rFonts w:ascii="Cambria" w:hAnsi="Cambria"/>
          <w:b/>
          <w:bCs/>
          <w:color w:val="auto"/>
          <w:sz w:val="28"/>
          <w:szCs w:val="28"/>
        </w:rPr>
        <w:lastRenderedPageBreak/>
        <w:t>6. CONCLUSIÓN</w:t>
      </w:r>
    </w:p>
    <w:p w14:paraId="77D0DE4B" w14:textId="77777777" w:rsidR="00912DB0" w:rsidRPr="004A77F5" w:rsidRDefault="00912DB0" w:rsidP="00912DB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A77F5">
        <w:rPr>
          <w:rFonts w:ascii="Cambria" w:hAnsi="Cambria"/>
          <w:b/>
          <w:bCs/>
          <w:color w:val="auto"/>
          <w:sz w:val="24"/>
          <w:szCs w:val="24"/>
        </w:rPr>
        <w:t>6.1. Impacto General</w:t>
      </w:r>
    </w:p>
    <w:p w14:paraId="22ECE9AB" w14:textId="77777777" w:rsidR="00912DB0" w:rsidRPr="004A77F5" w:rsidRDefault="00912DB0" w:rsidP="00912DB0">
      <w:pPr>
        <w:numPr>
          <w:ilvl w:val="1"/>
          <w:numId w:val="18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política de competencia asigna recursos eficazmente y obliga a la innovación constante.</w:t>
      </w:r>
    </w:p>
    <w:p w14:paraId="75CD19DD" w14:textId="77777777" w:rsidR="00912DB0" w:rsidRPr="004A77F5" w:rsidRDefault="00912DB0" w:rsidP="00912DB0">
      <w:pPr>
        <w:numPr>
          <w:ilvl w:val="1"/>
          <w:numId w:val="18"/>
        </w:numPr>
        <w:jc w:val="both"/>
        <w:rPr>
          <w:rFonts w:ascii="Cambria" w:hAnsi="Cambria"/>
        </w:rPr>
      </w:pPr>
      <w:r w:rsidRPr="004A77F5">
        <w:rPr>
          <w:rFonts w:ascii="Cambria" w:hAnsi="Cambria"/>
        </w:rPr>
        <w:t>La responsabilidad ha recaído en diversos Comisarios, destacando la presencia española en periodos clave.</w:t>
      </w:r>
    </w:p>
    <w:p w14:paraId="32CB7F56" w14:textId="77777777" w:rsidR="00A65383" w:rsidRPr="004A77F5" w:rsidRDefault="00A65383" w:rsidP="00912DB0">
      <w:pPr>
        <w:jc w:val="both"/>
        <w:rPr>
          <w:rFonts w:ascii="Cambria" w:hAnsi="Cambria"/>
        </w:rPr>
      </w:pPr>
    </w:p>
    <w:sectPr w:rsidR="00A65383" w:rsidRPr="004A77F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E5B25" w14:textId="77777777" w:rsidR="007E4FCA" w:rsidRDefault="007E4FCA" w:rsidP="007E4FCA">
      <w:pPr>
        <w:spacing w:after="0" w:line="240" w:lineRule="auto"/>
      </w:pPr>
      <w:r>
        <w:separator/>
      </w:r>
    </w:p>
  </w:endnote>
  <w:endnote w:type="continuationSeparator" w:id="0">
    <w:p w14:paraId="0D3F8AB0" w14:textId="77777777" w:rsidR="007E4FCA" w:rsidRDefault="007E4FCA" w:rsidP="007E4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19BE5" w14:textId="77777777" w:rsidR="007E4FCA" w:rsidRDefault="007E4FCA" w:rsidP="007E4FCA">
      <w:pPr>
        <w:spacing w:after="0" w:line="240" w:lineRule="auto"/>
      </w:pPr>
      <w:r>
        <w:separator/>
      </w:r>
    </w:p>
  </w:footnote>
  <w:footnote w:type="continuationSeparator" w:id="0">
    <w:p w14:paraId="41206D2F" w14:textId="77777777" w:rsidR="007E4FCA" w:rsidRDefault="007E4FCA" w:rsidP="007E4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44D8" w14:textId="470044DF" w:rsidR="007E4FCA" w:rsidRPr="007E4FCA" w:rsidRDefault="007E4FCA" w:rsidP="007E4FCA">
    <w:pPr>
      <w:pStyle w:val="Encabezado"/>
      <w:jc w:val="both"/>
      <w:rPr>
        <w:rFonts w:ascii="Palatino Linotype" w:hAnsi="Palatino Linotype"/>
        <w:i/>
        <w:iCs/>
      </w:rPr>
    </w:pPr>
    <w:r w:rsidRPr="007E4FCA">
      <w:rPr>
        <w:rFonts w:ascii="Palatino Linotype" w:hAnsi="Palatino Linotype"/>
        <w:b/>
        <w:bCs/>
        <w:i/>
        <w:iCs/>
      </w:rPr>
      <w:t>TEMA 52 -</w:t>
    </w:r>
    <w:r w:rsidRPr="007E4FCA">
      <w:rPr>
        <w:rFonts w:ascii="Palatino Linotype" w:hAnsi="Palatino Linotype"/>
        <w:i/>
        <w:iCs/>
      </w:rPr>
      <w:t xml:space="preserve"> Política de Competencia de la Unión Europea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EBC"/>
    <w:multiLevelType w:val="multilevel"/>
    <w:tmpl w:val="85AC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2FB7"/>
    <w:multiLevelType w:val="multilevel"/>
    <w:tmpl w:val="7EE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47A4"/>
    <w:multiLevelType w:val="multilevel"/>
    <w:tmpl w:val="69D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28A3"/>
    <w:multiLevelType w:val="multilevel"/>
    <w:tmpl w:val="461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4316F"/>
    <w:multiLevelType w:val="multilevel"/>
    <w:tmpl w:val="7AE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646A"/>
    <w:multiLevelType w:val="multilevel"/>
    <w:tmpl w:val="0AB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012E4"/>
    <w:multiLevelType w:val="multilevel"/>
    <w:tmpl w:val="C75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B0745"/>
    <w:multiLevelType w:val="multilevel"/>
    <w:tmpl w:val="287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10ED6"/>
    <w:multiLevelType w:val="multilevel"/>
    <w:tmpl w:val="9D8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D3DC1"/>
    <w:multiLevelType w:val="multilevel"/>
    <w:tmpl w:val="A24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802F6"/>
    <w:multiLevelType w:val="multilevel"/>
    <w:tmpl w:val="B1E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55D35"/>
    <w:multiLevelType w:val="multilevel"/>
    <w:tmpl w:val="14E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11690"/>
    <w:multiLevelType w:val="multilevel"/>
    <w:tmpl w:val="AA4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1AE"/>
    <w:multiLevelType w:val="multilevel"/>
    <w:tmpl w:val="E72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40B85"/>
    <w:multiLevelType w:val="multilevel"/>
    <w:tmpl w:val="54C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77BC6"/>
    <w:multiLevelType w:val="multilevel"/>
    <w:tmpl w:val="3DA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82D10"/>
    <w:multiLevelType w:val="multilevel"/>
    <w:tmpl w:val="D17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9183D"/>
    <w:multiLevelType w:val="multilevel"/>
    <w:tmpl w:val="1A1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54064">
    <w:abstractNumId w:val="12"/>
  </w:num>
  <w:num w:numId="2" w16cid:durableId="1512909987">
    <w:abstractNumId w:val="1"/>
  </w:num>
  <w:num w:numId="3" w16cid:durableId="1005748056">
    <w:abstractNumId w:val="8"/>
  </w:num>
  <w:num w:numId="4" w16cid:durableId="1305350233">
    <w:abstractNumId w:val="5"/>
  </w:num>
  <w:num w:numId="5" w16cid:durableId="1645425437">
    <w:abstractNumId w:val="13"/>
  </w:num>
  <w:num w:numId="6" w16cid:durableId="1327245076">
    <w:abstractNumId w:val="7"/>
  </w:num>
  <w:num w:numId="7" w16cid:durableId="822047956">
    <w:abstractNumId w:val="16"/>
  </w:num>
  <w:num w:numId="8" w16cid:durableId="526256941">
    <w:abstractNumId w:val="11"/>
  </w:num>
  <w:num w:numId="9" w16cid:durableId="528641200">
    <w:abstractNumId w:val="15"/>
  </w:num>
  <w:num w:numId="10" w16cid:durableId="63994898">
    <w:abstractNumId w:val="14"/>
  </w:num>
  <w:num w:numId="11" w16cid:durableId="1901208915">
    <w:abstractNumId w:val="0"/>
  </w:num>
  <w:num w:numId="12" w16cid:durableId="2050912595">
    <w:abstractNumId w:val="6"/>
  </w:num>
  <w:num w:numId="13" w16cid:durableId="598102564">
    <w:abstractNumId w:val="9"/>
  </w:num>
  <w:num w:numId="14" w16cid:durableId="1647709812">
    <w:abstractNumId w:val="17"/>
  </w:num>
  <w:num w:numId="15" w16cid:durableId="1933002022">
    <w:abstractNumId w:val="10"/>
  </w:num>
  <w:num w:numId="16" w16cid:durableId="92943516">
    <w:abstractNumId w:val="2"/>
  </w:num>
  <w:num w:numId="17" w16cid:durableId="1355376783">
    <w:abstractNumId w:val="4"/>
  </w:num>
  <w:num w:numId="18" w16cid:durableId="1196389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15"/>
    <w:rsid w:val="00100729"/>
    <w:rsid w:val="00106D8F"/>
    <w:rsid w:val="004A77F5"/>
    <w:rsid w:val="005803BC"/>
    <w:rsid w:val="007E4FCA"/>
    <w:rsid w:val="00833315"/>
    <w:rsid w:val="00912DB0"/>
    <w:rsid w:val="00A65383"/>
    <w:rsid w:val="00A8675C"/>
    <w:rsid w:val="00C12CFD"/>
    <w:rsid w:val="00C40876"/>
    <w:rsid w:val="00EA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20D0DAC"/>
  <w15:chartTrackingRefBased/>
  <w15:docId w15:val="{B71B0EB0-058A-4FF3-9691-D0A69781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3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3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31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33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3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E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FCA"/>
  </w:style>
  <w:style w:type="paragraph" w:styleId="Piedepgina">
    <w:name w:val="footer"/>
    <w:basedOn w:val="Normal"/>
    <w:link w:val="PiedepginaCar"/>
    <w:uiPriority w:val="99"/>
    <w:unhideWhenUsed/>
    <w:rsid w:val="007E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787</Words>
  <Characters>4547</Characters>
  <Application>Microsoft Office Word</Application>
  <DocSecurity>0</DocSecurity>
  <Lines>105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2025-12-12T08:57:00Z</dcterms:created>
  <dcterms:modified xsi:type="dcterms:W3CDTF">2026-01-14T09:06:00Z</dcterms:modified>
</cp:coreProperties>
</file>