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22A9" w14:textId="77777777" w:rsidR="004F1641" w:rsidRPr="00806F14" w:rsidRDefault="004F1641" w:rsidP="004F164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06F14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6017A7E7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1.1. Importancia y Objetivos de Inversión</w:t>
      </w:r>
    </w:p>
    <w:p w14:paraId="06912229" w14:textId="77777777" w:rsidR="004F1641" w:rsidRPr="00806F14" w:rsidRDefault="004F1641" w:rsidP="004F1641">
      <w:pPr>
        <w:numPr>
          <w:ilvl w:val="1"/>
          <w:numId w:val="24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La Política Regional, junto con la PAC, representa la mayor parte del presupuesto de la UE para 2021-2027 (391.878,4 M€), siendo el principal instrumento de inversión.</w:t>
      </w:r>
    </w:p>
    <w:p w14:paraId="08D83F30" w14:textId="77777777" w:rsidR="004F1641" w:rsidRPr="00806F14" w:rsidRDefault="004F1641" w:rsidP="004F1641">
      <w:pPr>
        <w:numPr>
          <w:ilvl w:val="1"/>
          <w:numId w:val="24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Sus recursos se destinan a infraestructuras estratégicas, transición ecológica, apoyo a PYMES, empleo, educación e integración social.</w:t>
      </w:r>
    </w:p>
    <w:p w14:paraId="6AFCC211" w14:textId="77777777" w:rsidR="004F1641" w:rsidRPr="00806F14" w:rsidRDefault="004F1641" w:rsidP="004F1641">
      <w:pPr>
        <w:numPr>
          <w:ilvl w:val="1"/>
          <w:numId w:val="24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Actúa como catalizador de financiación pública y privada mediante la cofinanciación, generando confianza en los inversores y multiplicando el impacto global.</w:t>
      </w:r>
    </w:p>
    <w:p w14:paraId="7DADF7C3" w14:textId="77777777" w:rsidR="004F1641" w:rsidRPr="00806F14" w:rsidRDefault="004F1641" w:rsidP="004F1641">
      <w:pPr>
        <w:numPr>
          <w:ilvl w:val="1"/>
          <w:numId w:val="24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Es una expresión de solidaridad que prioriza a las regiones menos desarrolladas para reducir disparidades y explotar su potencial económico.</w:t>
      </w:r>
    </w:p>
    <w:p w14:paraId="16070222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1.2. Concepto de Política de Cohesión</w:t>
      </w:r>
    </w:p>
    <w:p w14:paraId="25E9836E" w14:textId="77777777" w:rsidR="004F1641" w:rsidRPr="00806F14" w:rsidRDefault="004F1641" w:rsidP="004F1641">
      <w:pPr>
        <w:numPr>
          <w:ilvl w:val="1"/>
          <w:numId w:val="24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Su objetivo general es reforzar la cohesión económica, social y territorial.</w:t>
      </w:r>
    </w:p>
    <w:p w14:paraId="0A63EBD4" w14:textId="77777777" w:rsidR="004F1641" w:rsidRPr="00806F14" w:rsidRDefault="004F1641" w:rsidP="004F1641">
      <w:pPr>
        <w:numPr>
          <w:ilvl w:val="1"/>
          <w:numId w:val="24"/>
        </w:numPr>
        <w:jc w:val="both"/>
        <w:rPr>
          <w:rFonts w:ascii="Cambria" w:hAnsi="Cambria"/>
        </w:rPr>
      </w:pPr>
      <w:r w:rsidRPr="00806F14">
        <w:rPr>
          <w:rFonts w:ascii="Cambria" w:hAnsi="Cambria"/>
          <w:b/>
          <w:bCs/>
        </w:rPr>
        <w:t>Cohesión económica y social:</w:t>
      </w:r>
      <w:r w:rsidRPr="00806F14">
        <w:rPr>
          <w:rFonts w:ascii="Cambria" w:hAnsi="Cambria"/>
        </w:rPr>
        <w:t xml:space="preserve"> Impulsa la competitividad, el crecimiento ecológico, el empleo y la calidad de vida.</w:t>
      </w:r>
    </w:p>
    <w:p w14:paraId="365AE7D4" w14:textId="77777777" w:rsidR="004F1641" w:rsidRPr="00806F14" w:rsidRDefault="004F1641" w:rsidP="004F1641">
      <w:pPr>
        <w:numPr>
          <w:ilvl w:val="1"/>
          <w:numId w:val="24"/>
        </w:numPr>
        <w:jc w:val="both"/>
        <w:rPr>
          <w:rFonts w:ascii="Cambria" w:hAnsi="Cambria"/>
        </w:rPr>
      </w:pPr>
      <w:r w:rsidRPr="00806F14">
        <w:rPr>
          <w:rFonts w:ascii="Cambria" w:hAnsi="Cambria"/>
          <w:b/>
          <w:bCs/>
        </w:rPr>
        <w:t>Cohesión territorial:</w:t>
      </w:r>
      <w:r w:rsidRPr="00806F14">
        <w:rPr>
          <w:rFonts w:ascii="Cambria" w:hAnsi="Cambria"/>
        </w:rPr>
        <w:t xml:space="preserve"> Conecta regiones para aprovechar fortalezas y afrontar desafíos comunes como el cambio climático.</w:t>
      </w:r>
    </w:p>
    <w:p w14:paraId="587C7240" w14:textId="77777777" w:rsidR="004F1641" w:rsidRPr="00806F14" w:rsidRDefault="004F1641" w:rsidP="004F1641">
      <w:pPr>
        <w:numPr>
          <w:ilvl w:val="1"/>
          <w:numId w:val="24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Se complementa con otras políticas comunitarias (educación, energía, medioambiente, mercado único e I+D).</w:t>
      </w:r>
    </w:p>
    <w:p w14:paraId="3937F0F8" w14:textId="77777777" w:rsidR="004F1641" w:rsidRPr="00806F14" w:rsidRDefault="004F1641" w:rsidP="004F164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06F14">
        <w:rPr>
          <w:rFonts w:ascii="Cambria" w:hAnsi="Cambria"/>
          <w:b/>
          <w:bCs/>
          <w:color w:val="auto"/>
          <w:sz w:val="28"/>
          <w:szCs w:val="28"/>
        </w:rPr>
        <w:t>2. ORÍGENES Y EVOLUCIÓN</w:t>
      </w:r>
    </w:p>
    <w:p w14:paraId="32242D44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2.1. Hitos Históricos y Fundamentos</w:t>
      </w:r>
    </w:p>
    <w:p w14:paraId="30E95502" w14:textId="77777777" w:rsidR="004F1641" w:rsidRPr="00806F14" w:rsidRDefault="004F1641" w:rsidP="004F1641">
      <w:pPr>
        <w:numPr>
          <w:ilvl w:val="1"/>
          <w:numId w:val="25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Tratados de Roma (1957): Establecimiento inicial del FSE y FEOGA.</w:t>
      </w:r>
    </w:p>
    <w:p w14:paraId="026EF643" w14:textId="77777777" w:rsidR="004F1641" w:rsidRPr="00806F14" w:rsidRDefault="004F1641" w:rsidP="004F1641">
      <w:pPr>
        <w:numPr>
          <w:ilvl w:val="1"/>
          <w:numId w:val="25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Creación del FEDER (1975) y del Fondo de Cohesión (1994).</w:t>
      </w:r>
    </w:p>
    <w:p w14:paraId="75EA1538" w14:textId="77777777" w:rsidR="004F1641" w:rsidRPr="00806F14" w:rsidRDefault="004F1641" w:rsidP="004F1641">
      <w:pPr>
        <w:numPr>
          <w:ilvl w:val="1"/>
          <w:numId w:val="25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Acta Única Europea (1986): La cohesión económica y social se convierte en competencia comunitaria.</w:t>
      </w:r>
    </w:p>
    <w:p w14:paraId="303CFDFB" w14:textId="77777777" w:rsidR="004F1641" w:rsidRPr="00806F14" w:rsidRDefault="004F1641" w:rsidP="004F1641">
      <w:pPr>
        <w:numPr>
          <w:ilvl w:val="1"/>
          <w:numId w:val="25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Tratado de Lisboa (2009): Introduce la dimensión de cohesión territorial.</w:t>
      </w:r>
    </w:p>
    <w:p w14:paraId="2EE861AC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2.2. Fases de Desarrollo (1957-2020)</w:t>
      </w:r>
    </w:p>
    <w:p w14:paraId="23F7D502" w14:textId="77777777" w:rsidR="004F1641" w:rsidRPr="00806F14" w:rsidRDefault="004F1641" w:rsidP="004F1641">
      <w:pPr>
        <w:numPr>
          <w:ilvl w:val="1"/>
          <w:numId w:val="25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Desde los inicios hasta la integración de Fondos Estructurales (1988) para adaptarse a la adhesión de Grecia, España y Portugal.</w:t>
      </w:r>
    </w:p>
    <w:p w14:paraId="75B3792D" w14:textId="77777777" w:rsidR="004F1641" w:rsidRPr="00806F14" w:rsidRDefault="004F1641" w:rsidP="004F1641">
      <w:pPr>
        <w:numPr>
          <w:ilvl w:val="1"/>
          <w:numId w:val="25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lastRenderedPageBreak/>
        <w:t>Tratado de Maastricht (1993): Creación del Fondo de Cohesión, Comité de las Regiones y principio de subsidiariedad; duplicación de recursos (1994-1999).</w:t>
      </w:r>
    </w:p>
    <w:p w14:paraId="013CB02F" w14:textId="77777777" w:rsidR="004F1641" w:rsidRPr="00806F14" w:rsidRDefault="004F1641" w:rsidP="004F1641">
      <w:pPr>
        <w:numPr>
          <w:ilvl w:val="1"/>
          <w:numId w:val="25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Estrategia de Lisboa (2000-2006): Enfoque en crecimiento, empleo e innovación; ampliación de 2004.</w:t>
      </w:r>
    </w:p>
    <w:p w14:paraId="103F9FDE" w14:textId="77777777" w:rsidR="004F1641" w:rsidRPr="00806F14" w:rsidRDefault="004F1641" w:rsidP="004F1641">
      <w:pPr>
        <w:numPr>
          <w:ilvl w:val="1"/>
          <w:numId w:val="25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Periodos recientes (2007-2020): Prioridad en investigación, innovación, agenda digital, PYMES y economía baja en carbono.</w:t>
      </w:r>
    </w:p>
    <w:p w14:paraId="73E4C23E" w14:textId="319C4585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2.3. Periodo Actual 2021-202</w:t>
      </w:r>
      <w:r w:rsidR="00B33FF8">
        <w:rPr>
          <w:rFonts w:ascii="Cambria" w:hAnsi="Cambria"/>
          <w:b/>
          <w:bCs/>
          <w:color w:val="auto"/>
          <w:sz w:val="24"/>
          <w:szCs w:val="24"/>
        </w:rPr>
        <w:t>7</w:t>
      </w:r>
      <w:r w:rsidRPr="00806F14">
        <w:rPr>
          <w:rFonts w:ascii="Cambria" w:hAnsi="Cambria"/>
          <w:b/>
          <w:bCs/>
          <w:color w:val="auto"/>
          <w:sz w:val="24"/>
          <w:szCs w:val="24"/>
        </w:rPr>
        <w:t xml:space="preserve"> y Respuesta a Crisis</w:t>
      </w:r>
    </w:p>
    <w:p w14:paraId="29FCAB84" w14:textId="77777777" w:rsidR="004F1641" w:rsidRPr="00806F14" w:rsidRDefault="004F1641" w:rsidP="004F1641">
      <w:pPr>
        <w:numPr>
          <w:ilvl w:val="1"/>
          <w:numId w:val="25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 xml:space="preserve">Cinco objetivos principales: Europa más inteligente, más ecológica, más conectada, </w:t>
      </w:r>
      <w:proofErr w:type="gramStart"/>
      <w:r w:rsidRPr="00806F14">
        <w:rPr>
          <w:rFonts w:ascii="Cambria" w:hAnsi="Cambria"/>
        </w:rPr>
        <w:t>más social y más cercana</w:t>
      </w:r>
      <w:proofErr w:type="gramEnd"/>
      <w:r w:rsidRPr="00806F14">
        <w:rPr>
          <w:rFonts w:ascii="Cambria" w:hAnsi="Cambria"/>
        </w:rPr>
        <w:t xml:space="preserve"> a los ciudadanos.</w:t>
      </w:r>
    </w:p>
    <w:p w14:paraId="5D4CA0DF" w14:textId="77777777" w:rsidR="004F1641" w:rsidRPr="00806F14" w:rsidRDefault="004F1641" w:rsidP="004F1641">
      <w:pPr>
        <w:numPr>
          <w:ilvl w:val="1"/>
          <w:numId w:val="25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 xml:space="preserve">Financiación combinada del Marco Financiero Plurianual y «Next </w:t>
      </w:r>
      <w:proofErr w:type="spellStart"/>
      <w:r w:rsidRPr="00806F14">
        <w:rPr>
          <w:rFonts w:ascii="Cambria" w:hAnsi="Cambria"/>
        </w:rPr>
        <w:t>Generation</w:t>
      </w:r>
      <w:proofErr w:type="spellEnd"/>
      <w:r w:rsidRPr="00806F14">
        <w:rPr>
          <w:rFonts w:ascii="Cambria" w:hAnsi="Cambria"/>
        </w:rPr>
        <w:t xml:space="preserve"> EU» para afrontar la crisis COVID-19.</w:t>
      </w:r>
    </w:p>
    <w:p w14:paraId="5FC47482" w14:textId="77777777" w:rsidR="004F1641" w:rsidRPr="00806F14" w:rsidRDefault="004F1641" w:rsidP="004F1641">
      <w:pPr>
        <w:numPr>
          <w:ilvl w:val="1"/>
          <w:numId w:val="25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Asignación de recursos diferenciada por categorías de regiones (menos desarrolladas, en transición, más desarrolladas) y fondos específicos (Fondo de Cohesión, RUP, cooperación territorial).</w:t>
      </w:r>
    </w:p>
    <w:p w14:paraId="0EB695D7" w14:textId="77777777" w:rsidR="004F1641" w:rsidRPr="00806F14" w:rsidRDefault="004F1641" w:rsidP="004F164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06F14">
        <w:rPr>
          <w:rFonts w:ascii="Cambria" w:hAnsi="Cambria"/>
          <w:b/>
          <w:bCs/>
          <w:color w:val="auto"/>
          <w:sz w:val="28"/>
          <w:szCs w:val="28"/>
        </w:rPr>
        <w:t>3. FONDOS REGIONALES E INSTRUMENTOS FINANCIEROS</w:t>
      </w:r>
    </w:p>
    <w:p w14:paraId="0D9F2131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3.1. Marco General de los Fondos</w:t>
      </w:r>
    </w:p>
    <w:p w14:paraId="2CC8FE3D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Los Fondos Estructurales y de Inversión Europeos (FEIE) incluyen FEDER, FSE+, Fondo de Cohesión, Fondo de Transición Justa (FTJ), FEADER y FEMPA.</w:t>
      </w:r>
    </w:p>
    <w:p w14:paraId="35CE2ECC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Se rigen por disposiciones comunes (Reglamento 2021/1060) y normas específicas para cada fondo.</w:t>
      </w:r>
    </w:p>
    <w:p w14:paraId="41E60A45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3.2. Fondo Europeo de Desarrollo Regional (FEDER)</w:t>
      </w:r>
    </w:p>
    <w:p w14:paraId="3124E1D1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Objetivo: Fortalecer la cohesión corrigiendo desequilibrios regionales mediante inversión en una Europa inteligente, verde, conectada y social.</w:t>
      </w:r>
    </w:p>
    <w:p w14:paraId="6EF7E637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Gestión compartida y concentración temática obligatoria en objetivos de competitividad (PO1) y transición ecológica (PO2) según el nivel de desarrollo de la región.</w:t>
      </w:r>
    </w:p>
    <w:p w14:paraId="3747BD46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Atención especial a zonas con desventajas geográficas (montaña, poco pobladas) y Regiones Ultraperiféricas (RUP).</w:t>
      </w:r>
    </w:p>
    <w:p w14:paraId="5634F27B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Destina al menos un 5% a desarrollo urbano sostenible y financia la cooperación territorial (</w:t>
      </w:r>
      <w:proofErr w:type="spellStart"/>
      <w:r w:rsidRPr="00806F14">
        <w:rPr>
          <w:rFonts w:ascii="Cambria" w:hAnsi="Cambria"/>
        </w:rPr>
        <w:t>Interreg</w:t>
      </w:r>
      <w:proofErr w:type="spellEnd"/>
      <w:r w:rsidRPr="00806F14">
        <w:rPr>
          <w:rFonts w:ascii="Cambria" w:hAnsi="Cambria"/>
        </w:rPr>
        <w:t>).</w:t>
      </w:r>
    </w:p>
    <w:p w14:paraId="48474089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lastRenderedPageBreak/>
        <w:t>3.3. Fondo Social Europeo Plus (FSE+)</w:t>
      </w:r>
    </w:p>
    <w:p w14:paraId="7083982A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 xml:space="preserve">Principal instrumento para invertir en las personas, integrando antiguos fondos (FSE, YEI, FEAD, </w:t>
      </w:r>
      <w:proofErr w:type="spellStart"/>
      <w:r w:rsidRPr="00806F14">
        <w:rPr>
          <w:rFonts w:ascii="Cambria" w:hAnsi="Cambria"/>
        </w:rPr>
        <w:t>EaSI</w:t>
      </w:r>
      <w:proofErr w:type="spellEnd"/>
      <w:r w:rsidRPr="00806F14">
        <w:rPr>
          <w:rFonts w:ascii="Cambria" w:hAnsi="Cambria"/>
        </w:rPr>
        <w:t>).</w:t>
      </w:r>
    </w:p>
    <w:p w14:paraId="03717FA5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Prioridades: Empleo juvenil, lucha contra la pobreza infantil, recualificación para transición verde/digital e inclusión social.</w:t>
      </w:r>
    </w:p>
    <w:p w14:paraId="343A7E23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Gestión mayoritariamente compartida, con una parte de gestión directa para innovación social (</w:t>
      </w:r>
      <w:proofErr w:type="spellStart"/>
      <w:r w:rsidRPr="00806F14">
        <w:rPr>
          <w:rFonts w:ascii="Cambria" w:hAnsi="Cambria"/>
        </w:rPr>
        <w:t>EaSI</w:t>
      </w:r>
      <w:proofErr w:type="spellEnd"/>
      <w:r w:rsidRPr="00806F14">
        <w:rPr>
          <w:rFonts w:ascii="Cambria" w:hAnsi="Cambria"/>
        </w:rPr>
        <w:t>).</w:t>
      </w:r>
    </w:p>
    <w:p w14:paraId="4305CA19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3.4. Fondo de Cohesión</w:t>
      </w:r>
    </w:p>
    <w:p w14:paraId="50270290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Destinado a Estados miembros con RNB inferior al 90% de la media de la UE (15 países en 2021-2027).</w:t>
      </w:r>
    </w:p>
    <w:p w14:paraId="039A3438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Invierte en redes transeuropeas de transporte (RTE-T) y proyectos de medioambiente (energía, transporte sostenible).</w:t>
      </w:r>
    </w:p>
    <w:p w14:paraId="4DD1FD05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Condicionalidad macroeconómica: La ayuda puede suspenderse por déficit público excesivo no corregido.</w:t>
      </w:r>
    </w:p>
    <w:p w14:paraId="0BE476E5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3.5. Fondo de Transición Justa (FTJ)</w:t>
      </w:r>
    </w:p>
    <w:p w14:paraId="56B1ED02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Parte del Mecanismo para una Transición Justa del Pacto Verde Europeo.</w:t>
      </w:r>
    </w:p>
    <w:p w14:paraId="02DE39F3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Apoya a regiones dependientes de combustibles fósiles o procesos industriales intensivos en carbono para lograr la neutralidad climática.</w:t>
      </w:r>
    </w:p>
    <w:p w14:paraId="2261D90D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Se centra en diversificación económica, reciclaje profesional e inclusión activa de trabajadores.</w:t>
      </w:r>
    </w:p>
    <w:p w14:paraId="1ED07CED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3.6. Otros Instrumentos de Apoyo y Respuesta</w:t>
      </w:r>
    </w:p>
    <w:p w14:paraId="3F55593A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  <w:b/>
          <w:bCs/>
        </w:rPr>
        <w:t>Fondo de Solidaridad (FSUE):</w:t>
      </w:r>
      <w:r w:rsidRPr="00806F14">
        <w:rPr>
          <w:rFonts w:ascii="Cambria" w:hAnsi="Cambria"/>
        </w:rPr>
        <w:t xml:space="preserve"> Respuesta a catástrofes naturales graves y emergencias de salud pública (COVID-19).</w:t>
      </w:r>
    </w:p>
    <w:p w14:paraId="484CEAB3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  <w:b/>
          <w:bCs/>
        </w:rPr>
        <w:t>Instrumento de Ayuda de Preadhesión (IAP):</w:t>
      </w:r>
      <w:r w:rsidRPr="00806F14">
        <w:rPr>
          <w:rFonts w:ascii="Cambria" w:hAnsi="Cambria"/>
        </w:rPr>
        <w:t xml:space="preserve"> Apoyo a países candidatos y potenciales (transición institucional, desarrollo regional).</w:t>
      </w:r>
    </w:p>
    <w:p w14:paraId="49D4ACB1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  <w:b/>
          <w:bCs/>
        </w:rPr>
        <w:t>Fondo Europeo de Adaptación a la Globalización (FEAG):</w:t>
      </w:r>
      <w:r w:rsidRPr="00806F14">
        <w:rPr>
          <w:rFonts w:ascii="Cambria" w:hAnsi="Cambria"/>
        </w:rPr>
        <w:t xml:space="preserve"> Ayuda a trabajadores despedidos por cambios estructurales globales o crisis.</w:t>
      </w:r>
    </w:p>
    <w:p w14:paraId="7EF1F011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  <w:b/>
          <w:bCs/>
        </w:rPr>
        <w:t>Fondos de Migración y Seguridad:</w:t>
      </w:r>
      <w:r w:rsidRPr="00806F14">
        <w:rPr>
          <w:rFonts w:ascii="Cambria" w:hAnsi="Cambria"/>
        </w:rPr>
        <w:t xml:space="preserve"> FAMI (asilo/migración), IBMF/BMVI (gestión de fronteras/visados) y FSI (seguridad interior/terrorismo).</w:t>
      </w:r>
    </w:p>
    <w:p w14:paraId="2293C05A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  <w:b/>
          <w:bCs/>
        </w:rPr>
        <w:t>REACT-UE:</w:t>
      </w:r>
      <w:r w:rsidRPr="00806F14">
        <w:rPr>
          <w:rFonts w:ascii="Cambria" w:hAnsi="Cambria"/>
        </w:rPr>
        <w:t xml:space="preserve"> Recursos adicionales para la recuperación poscrisis (2021-2022) destinados a FEDER y FSE.</w:t>
      </w:r>
    </w:p>
    <w:p w14:paraId="1947000F" w14:textId="77777777" w:rsidR="004F1641" w:rsidRPr="00806F14" w:rsidRDefault="004F1641" w:rsidP="004F1641">
      <w:pPr>
        <w:numPr>
          <w:ilvl w:val="1"/>
          <w:numId w:val="26"/>
        </w:numPr>
        <w:jc w:val="both"/>
        <w:rPr>
          <w:rFonts w:ascii="Cambria" w:hAnsi="Cambria"/>
        </w:rPr>
      </w:pPr>
      <w:r w:rsidRPr="00806F14">
        <w:rPr>
          <w:rFonts w:ascii="Cambria" w:hAnsi="Cambria"/>
          <w:b/>
          <w:bCs/>
        </w:rPr>
        <w:lastRenderedPageBreak/>
        <w:t>Reserva de Ajuste BREXIT:</w:t>
      </w:r>
      <w:r w:rsidRPr="00806F14">
        <w:rPr>
          <w:rFonts w:ascii="Cambria" w:hAnsi="Cambria"/>
        </w:rPr>
        <w:t xml:space="preserve"> Instrumento temporal para paliar los efectos adversos de la retirada del Reino Unido.</w:t>
      </w:r>
    </w:p>
    <w:p w14:paraId="53D9FE3D" w14:textId="40BAD76D" w:rsidR="004F1641" w:rsidRPr="00806F14" w:rsidRDefault="004F1641" w:rsidP="004F164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06F14">
        <w:rPr>
          <w:rFonts w:ascii="Cambria" w:hAnsi="Cambria"/>
          <w:b/>
          <w:bCs/>
          <w:color w:val="auto"/>
          <w:sz w:val="28"/>
          <w:szCs w:val="28"/>
        </w:rPr>
        <w:t>4. INVERSIONES ESPECÍFICAS Y GESTIÓN 2021-2027</w:t>
      </w:r>
    </w:p>
    <w:p w14:paraId="6CFB4C3D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4.1. Enfoque de Financiación</w:t>
      </w:r>
    </w:p>
    <w:p w14:paraId="7FA8B771" w14:textId="77777777" w:rsidR="004F1641" w:rsidRPr="00806F14" w:rsidRDefault="004F1641" w:rsidP="004F1641">
      <w:pPr>
        <w:numPr>
          <w:ilvl w:val="1"/>
          <w:numId w:val="27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Clasificación de regiones por PIB per cápita para determinar la ayuda y tasa de cofinanciación:</w:t>
      </w:r>
    </w:p>
    <w:p w14:paraId="069270DA" w14:textId="77777777" w:rsidR="004F1641" w:rsidRPr="00806F14" w:rsidRDefault="004F1641" w:rsidP="004F1641">
      <w:pPr>
        <w:numPr>
          <w:ilvl w:val="2"/>
          <w:numId w:val="27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Menos desarrolladas (&lt;75% media UE).</w:t>
      </w:r>
    </w:p>
    <w:p w14:paraId="3B0005FB" w14:textId="77777777" w:rsidR="004F1641" w:rsidRPr="00806F14" w:rsidRDefault="004F1641" w:rsidP="004F1641">
      <w:pPr>
        <w:numPr>
          <w:ilvl w:val="2"/>
          <w:numId w:val="27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En transición (75-100% media UE).</w:t>
      </w:r>
    </w:p>
    <w:p w14:paraId="0AF23D29" w14:textId="77777777" w:rsidR="004F1641" w:rsidRPr="00806F14" w:rsidRDefault="004F1641" w:rsidP="004F1641">
      <w:pPr>
        <w:numPr>
          <w:ilvl w:val="2"/>
          <w:numId w:val="27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Más desarrolladas (&gt;100% media UE).</w:t>
      </w:r>
    </w:p>
    <w:p w14:paraId="0A21129B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4.2. Condiciones y Planificación</w:t>
      </w:r>
    </w:p>
    <w:p w14:paraId="31D38D71" w14:textId="478D0184" w:rsidR="004F1641" w:rsidRPr="00806F14" w:rsidRDefault="004F1641" w:rsidP="004F1641">
      <w:pPr>
        <w:numPr>
          <w:ilvl w:val="1"/>
          <w:numId w:val="27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Condiciones previas</w:t>
      </w:r>
      <w:r w:rsidR="00C7609F">
        <w:rPr>
          <w:rFonts w:ascii="Cambria" w:hAnsi="Cambria"/>
        </w:rPr>
        <w:t xml:space="preserve">: </w:t>
      </w:r>
      <w:r w:rsidRPr="00806F14">
        <w:rPr>
          <w:rFonts w:ascii="Cambria" w:hAnsi="Cambria"/>
        </w:rPr>
        <w:t xml:space="preserve">Estrategias de especialización inteligente, cumplimiento ambiental, reformas </w:t>
      </w:r>
      <w:r w:rsidR="00165AFB">
        <w:rPr>
          <w:rFonts w:ascii="Cambria" w:hAnsi="Cambria"/>
        </w:rPr>
        <w:t xml:space="preserve">en favor de la </w:t>
      </w:r>
      <w:r w:rsidRPr="00806F14">
        <w:rPr>
          <w:rFonts w:ascii="Cambria" w:hAnsi="Cambria"/>
        </w:rPr>
        <w:t>empresa.</w:t>
      </w:r>
    </w:p>
    <w:p w14:paraId="1BE5E652" w14:textId="77777777" w:rsidR="004F1641" w:rsidRPr="00806F14" w:rsidRDefault="004F1641" w:rsidP="004F1641">
      <w:pPr>
        <w:numPr>
          <w:ilvl w:val="1"/>
          <w:numId w:val="27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Alineación con el Semestre Europeo: Los planes deben ajustarse a las recomendaciones de reforma económica; incumplimientos graves pueden suspender fondos.</w:t>
      </w:r>
    </w:p>
    <w:p w14:paraId="5DC18917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4.3. Proceso de Gestión Compartida</w:t>
      </w:r>
    </w:p>
    <w:p w14:paraId="64B52520" w14:textId="77777777" w:rsidR="004F1641" w:rsidRPr="00806F14" w:rsidRDefault="004F1641" w:rsidP="004F1641">
      <w:pPr>
        <w:numPr>
          <w:ilvl w:val="1"/>
          <w:numId w:val="27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Presupuesto y normas decididos conjuntamente por Parlamento y Consejo.</w:t>
      </w:r>
    </w:p>
    <w:p w14:paraId="145E1A70" w14:textId="3AE3699E" w:rsidR="004F1641" w:rsidRPr="00806F14" w:rsidRDefault="004F1641" w:rsidP="004F1641">
      <w:pPr>
        <w:numPr>
          <w:ilvl w:val="1"/>
          <w:numId w:val="27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 xml:space="preserve">Asociación: Comisión y países elaboran Acuerdos de Asociación y Programas </w:t>
      </w:r>
      <w:r w:rsidR="00C7609F" w:rsidRPr="00806F14">
        <w:rPr>
          <w:rFonts w:ascii="Cambria" w:hAnsi="Cambria"/>
        </w:rPr>
        <w:t>Operativos,</w:t>
      </w:r>
      <w:r w:rsidRPr="00806F14">
        <w:rPr>
          <w:rFonts w:ascii="Cambria" w:hAnsi="Cambria"/>
        </w:rPr>
        <w:t xml:space="preserve"> consultando a la sociedad civil.</w:t>
      </w:r>
    </w:p>
    <w:p w14:paraId="7928FE0B" w14:textId="77777777" w:rsidR="004F1641" w:rsidRPr="00806F14" w:rsidRDefault="004F1641" w:rsidP="004F1641">
      <w:pPr>
        <w:numPr>
          <w:ilvl w:val="1"/>
          <w:numId w:val="27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Ejecución: Las autoridades de gestión nacionales/regionales seleccionan y supervisan proyectos; la Comisión aprueba programas y audita sistemas, pero no gestiona proyectos individuales.</w:t>
      </w:r>
    </w:p>
    <w:p w14:paraId="34A6F783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4.4. Estrategias Macrorregionales</w:t>
      </w:r>
    </w:p>
    <w:p w14:paraId="04723ED3" w14:textId="77777777" w:rsidR="004F1641" w:rsidRPr="00806F14" w:rsidRDefault="004F1641" w:rsidP="004F1641">
      <w:pPr>
        <w:numPr>
          <w:ilvl w:val="1"/>
          <w:numId w:val="27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Marcos financiados por FEDER para abordar problemas comunes en zonas geográficas específicas (Báltico, Danubio, Jónico-Adriático, Alpina).</w:t>
      </w:r>
    </w:p>
    <w:p w14:paraId="2DE0DD26" w14:textId="77777777" w:rsidR="004F1641" w:rsidRPr="00806F14" w:rsidRDefault="004F1641" w:rsidP="004F164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06F14">
        <w:rPr>
          <w:rFonts w:ascii="Cambria" w:hAnsi="Cambria"/>
          <w:b/>
          <w:bCs/>
          <w:color w:val="auto"/>
          <w:sz w:val="28"/>
          <w:szCs w:val="28"/>
        </w:rPr>
        <w:t>5. CONCLUSIÓN</w:t>
      </w:r>
    </w:p>
    <w:p w14:paraId="2690D2FF" w14:textId="77777777" w:rsidR="004F1641" w:rsidRPr="00806F14" w:rsidRDefault="004F1641" w:rsidP="004F164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06F14">
        <w:rPr>
          <w:rFonts w:ascii="Cambria" w:hAnsi="Cambria"/>
          <w:b/>
          <w:bCs/>
          <w:color w:val="auto"/>
          <w:sz w:val="24"/>
          <w:szCs w:val="24"/>
        </w:rPr>
        <w:t>5.1. Impacto y Perspectivas</w:t>
      </w:r>
    </w:p>
    <w:p w14:paraId="1CFB5276" w14:textId="77777777" w:rsidR="004F1641" w:rsidRPr="00806F14" w:rsidRDefault="004F1641" w:rsidP="004F1641">
      <w:pPr>
        <w:numPr>
          <w:ilvl w:val="1"/>
          <w:numId w:val="28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La Política Regional es esencial para el crecimiento y desarrollo urbano, beneficiando a ciudadanos y empresas.</w:t>
      </w:r>
    </w:p>
    <w:p w14:paraId="709739D4" w14:textId="77777777" w:rsidR="004F1641" w:rsidRPr="00806F14" w:rsidRDefault="004F1641" w:rsidP="004F1641">
      <w:pPr>
        <w:numPr>
          <w:ilvl w:val="1"/>
          <w:numId w:val="28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t>Ejemplo de éxito: Programa PEACE (y el nuevo PEACE PLUS) para la paz y reconciliación en Irlanda del Norte.</w:t>
      </w:r>
    </w:p>
    <w:p w14:paraId="7492665C" w14:textId="77777777" w:rsidR="004F1641" w:rsidRPr="00806F14" w:rsidRDefault="004F1641" w:rsidP="004F1641">
      <w:pPr>
        <w:numPr>
          <w:ilvl w:val="1"/>
          <w:numId w:val="28"/>
        </w:numPr>
        <w:jc w:val="both"/>
        <w:rPr>
          <w:rFonts w:ascii="Cambria" w:hAnsi="Cambria"/>
        </w:rPr>
      </w:pPr>
      <w:r w:rsidRPr="00806F14">
        <w:rPr>
          <w:rFonts w:ascii="Cambria" w:hAnsi="Cambria"/>
        </w:rPr>
        <w:lastRenderedPageBreak/>
        <w:t>En el contexto de recuperación poscrisis, se busca mayor coherencia, simplificación y complementariedad entre fondos, focalizando la inversión en prioridades estratégicas y resultados cuantificables.</w:t>
      </w:r>
    </w:p>
    <w:p w14:paraId="1DD40392" w14:textId="77777777" w:rsidR="00A65383" w:rsidRPr="00806F14" w:rsidRDefault="00A65383" w:rsidP="004F1641">
      <w:pPr>
        <w:jc w:val="both"/>
        <w:rPr>
          <w:rFonts w:ascii="Cambria" w:hAnsi="Cambria"/>
        </w:rPr>
      </w:pPr>
    </w:p>
    <w:sectPr w:rsidR="00A65383" w:rsidRPr="00806F1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6475" w14:textId="77777777" w:rsidR="00700FC9" w:rsidRDefault="00700FC9" w:rsidP="00700FC9">
      <w:pPr>
        <w:spacing w:after="0" w:line="240" w:lineRule="auto"/>
      </w:pPr>
      <w:r>
        <w:separator/>
      </w:r>
    </w:p>
  </w:endnote>
  <w:endnote w:type="continuationSeparator" w:id="0">
    <w:p w14:paraId="526DE398" w14:textId="77777777" w:rsidR="00700FC9" w:rsidRDefault="00700FC9" w:rsidP="00700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4ECCF" w14:textId="77777777" w:rsidR="00700FC9" w:rsidRDefault="00700FC9" w:rsidP="00700FC9">
      <w:pPr>
        <w:spacing w:after="0" w:line="240" w:lineRule="auto"/>
      </w:pPr>
      <w:r>
        <w:separator/>
      </w:r>
    </w:p>
  </w:footnote>
  <w:footnote w:type="continuationSeparator" w:id="0">
    <w:p w14:paraId="4B79FCEA" w14:textId="77777777" w:rsidR="00700FC9" w:rsidRDefault="00700FC9" w:rsidP="00700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B429E" w14:textId="722759ED" w:rsidR="00700FC9" w:rsidRPr="00700FC9" w:rsidRDefault="00700FC9" w:rsidP="00700FC9">
    <w:pPr>
      <w:pStyle w:val="Encabezado"/>
      <w:jc w:val="both"/>
      <w:rPr>
        <w:rFonts w:ascii="Palatino Linotype" w:hAnsi="Palatino Linotype"/>
        <w:i/>
        <w:iCs/>
      </w:rPr>
    </w:pPr>
    <w:r w:rsidRPr="00700FC9">
      <w:rPr>
        <w:rFonts w:ascii="Palatino Linotype" w:hAnsi="Palatino Linotype"/>
        <w:b/>
        <w:bCs/>
        <w:i/>
        <w:iCs/>
      </w:rPr>
      <w:t>TEMA 53 -</w:t>
    </w:r>
    <w:r w:rsidRPr="00700FC9">
      <w:rPr>
        <w:rFonts w:ascii="Palatino Linotype" w:hAnsi="Palatino Linotype"/>
        <w:i/>
        <w:iCs/>
      </w:rPr>
      <w:t xml:space="preserve"> Política regional y de cohesión de la Unión Europea. La cohesión económica, social y territorial. Fondos europeos.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F52"/>
    <w:multiLevelType w:val="multilevel"/>
    <w:tmpl w:val="4AB0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2093"/>
    <w:multiLevelType w:val="multilevel"/>
    <w:tmpl w:val="B80E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16748"/>
    <w:multiLevelType w:val="multilevel"/>
    <w:tmpl w:val="116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04E1"/>
    <w:multiLevelType w:val="multilevel"/>
    <w:tmpl w:val="B92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E12"/>
    <w:multiLevelType w:val="multilevel"/>
    <w:tmpl w:val="119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D5D96"/>
    <w:multiLevelType w:val="multilevel"/>
    <w:tmpl w:val="3D6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75316"/>
    <w:multiLevelType w:val="multilevel"/>
    <w:tmpl w:val="880C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43BF1"/>
    <w:multiLevelType w:val="multilevel"/>
    <w:tmpl w:val="AF62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52917"/>
    <w:multiLevelType w:val="multilevel"/>
    <w:tmpl w:val="1EA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D253A"/>
    <w:multiLevelType w:val="multilevel"/>
    <w:tmpl w:val="9922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772E8"/>
    <w:multiLevelType w:val="multilevel"/>
    <w:tmpl w:val="005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E01ED"/>
    <w:multiLevelType w:val="multilevel"/>
    <w:tmpl w:val="3EE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C212B"/>
    <w:multiLevelType w:val="multilevel"/>
    <w:tmpl w:val="2B08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C7901"/>
    <w:multiLevelType w:val="multilevel"/>
    <w:tmpl w:val="D1F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85FAD"/>
    <w:multiLevelType w:val="multilevel"/>
    <w:tmpl w:val="6B8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A0967"/>
    <w:multiLevelType w:val="multilevel"/>
    <w:tmpl w:val="F00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B0B4B"/>
    <w:multiLevelType w:val="multilevel"/>
    <w:tmpl w:val="DB1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233AA"/>
    <w:multiLevelType w:val="hybridMultilevel"/>
    <w:tmpl w:val="788AD8F2"/>
    <w:lvl w:ilvl="0" w:tplc="48CAF2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E6B4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4CD9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DACC1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A1CD3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AAC2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8AA9B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DA8BA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402D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C6A86"/>
    <w:multiLevelType w:val="multilevel"/>
    <w:tmpl w:val="DBDE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F3EAC"/>
    <w:multiLevelType w:val="multilevel"/>
    <w:tmpl w:val="0E2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C4887"/>
    <w:multiLevelType w:val="multilevel"/>
    <w:tmpl w:val="2AA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258BF"/>
    <w:multiLevelType w:val="multilevel"/>
    <w:tmpl w:val="B00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A6287"/>
    <w:multiLevelType w:val="multilevel"/>
    <w:tmpl w:val="3B06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9641B"/>
    <w:multiLevelType w:val="multilevel"/>
    <w:tmpl w:val="614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A0BF5"/>
    <w:multiLevelType w:val="multilevel"/>
    <w:tmpl w:val="EF7E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215D8"/>
    <w:multiLevelType w:val="multilevel"/>
    <w:tmpl w:val="7F2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016935">
    <w:abstractNumId w:val="9"/>
  </w:num>
  <w:num w:numId="2" w16cid:durableId="1210455363">
    <w:abstractNumId w:val="23"/>
  </w:num>
  <w:num w:numId="3" w16cid:durableId="750586749">
    <w:abstractNumId w:val="21"/>
  </w:num>
  <w:num w:numId="4" w16cid:durableId="118884948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1268386457">
    <w:abstractNumId w:val="7"/>
  </w:num>
  <w:num w:numId="6" w16cid:durableId="1981156561">
    <w:abstractNumId w:val="13"/>
  </w:num>
  <w:num w:numId="7" w16cid:durableId="1661422773">
    <w:abstractNumId w:val="16"/>
  </w:num>
  <w:num w:numId="8" w16cid:durableId="1406492958">
    <w:abstractNumId w:val="4"/>
  </w:num>
  <w:num w:numId="9" w16cid:durableId="1007438619">
    <w:abstractNumId w:val="2"/>
  </w:num>
  <w:num w:numId="10" w16cid:durableId="677773772">
    <w:abstractNumId w:val="3"/>
  </w:num>
  <w:num w:numId="11" w16cid:durableId="1726485423">
    <w:abstractNumId w:val="6"/>
  </w:num>
  <w:num w:numId="12" w16cid:durableId="1593508263">
    <w:abstractNumId w:val="12"/>
  </w:num>
  <w:num w:numId="13" w16cid:durableId="1152409555">
    <w:abstractNumId w:val="25"/>
  </w:num>
  <w:num w:numId="14" w16cid:durableId="775489950">
    <w:abstractNumId w:val="18"/>
  </w:num>
  <w:num w:numId="15" w16cid:durableId="1061245492">
    <w:abstractNumId w:val="22"/>
  </w:num>
  <w:num w:numId="16" w16cid:durableId="1371997801">
    <w:abstractNumId w:val="20"/>
  </w:num>
  <w:num w:numId="17" w16cid:durableId="1580940083">
    <w:abstractNumId w:val="1"/>
  </w:num>
  <w:num w:numId="18" w16cid:durableId="131288975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9" w16cid:durableId="2028291028">
    <w:abstractNumId w:val="24"/>
  </w:num>
  <w:num w:numId="20" w16cid:durableId="1103719245">
    <w:abstractNumId w:val="15"/>
  </w:num>
  <w:num w:numId="21" w16cid:durableId="1539203390">
    <w:abstractNumId w:val="10"/>
  </w:num>
  <w:num w:numId="22" w16cid:durableId="1496068892">
    <w:abstractNumId w:val="17"/>
  </w:num>
  <w:num w:numId="23" w16cid:durableId="884952448">
    <w:abstractNumId w:val="19"/>
  </w:num>
  <w:num w:numId="24" w16cid:durableId="1621181251">
    <w:abstractNumId w:val="5"/>
  </w:num>
  <w:num w:numId="25" w16cid:durableId="737901801">
    <w:abstractNumId w:val="8"/>
  </w:num>
  <w:num w:numId="26" w16cid:durableId="548957459">
    <w:abstractNumId w:val="11"/>
  </w:num>
  <w:num w:numId="27" w16cid:durableId="464664572">
    <w:abstractNumId w:val="14"/>
  </w:num>
  <w:num w:numId="28" w16cid:durableId="144180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C9"/>
    <w:rsid w:val="000C731D"/>
    <w:rsid w:val="00106D8F"/>
    <w:rsid w:val="00165AFB"/>
    <w:rsid w:val="004307FA"/>
    <w:rsid w:val="004F1641"/>
    <w:rsid w:val="005803BC"/>
    <w:rsid w:val="006B7A8C"/>
    <w:rsid w:val="00700FC9"/>
    <w:rsid w:val="00806F14"/>
    <w:rsid w:val="00A65383"/>
    <w:rsid w:val="00A8675C"/>
    <w:rsid w:val="00B33FF8"/>
    <w:rsid w:val="00C12CFD"/>
    <w:rsid w:val="00C7609F"/>
    <w:rsid w:val="00E3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E856C"/>
  <w15:chartTrackingRefBased/>
  <w15:docId w15:val="{AF5066FC-905C-4EF4-A0BC-1693BE03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0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0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0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00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00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00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F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F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F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0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FC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700F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F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0FC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00F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0FC9"/>
  </w:style>
  <w:style w:type="paragraph" w:styleId="Piedepgina">
    <w:name w:val="footer"/>
    <w:basedOn w:val="Normal"/>
    <w:link w:val="PiedepginaCar"/>
    <w:uiPriority w:val="99"/>
    <w:unhideWhenUsed/>
    <w:rsid w:val="00700F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0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961</Words>
  <Characters>5896</Characters>
  <Application>Microsoft Office Word</Application>
  <DocSecurity>0</DocSecurity>
  <Lines>137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6</cp:revision>
  <dcterms:created xsi:type="dcterms:W3CDTF">2025-12-12T10:10:00Z</dcterms:created>
  <dcterms:modified xsi:type="dcterms:W3CDTF">2026-01-14T09:10:00Z</dcterms:modified>
</cp:coreProperties>
</file>