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81B7" w14:textId="77777777" w:rsidR="00F63070" w:rsidRPr="00C77830" w:rsidRDefault="00F63070" w:rsidP="00C7783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77830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19A50FB1" w14:textId="77777777" w:rsidR="00F63070" w:rsidRPr="00C77830" w:rsidRDefault="00F63070" w:rsidP="00C7783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77830">
        <w:rPr>
          <w:rFonts w:ascii="Cambria" w:hAnsi="Cambria"/>
          <w:b/>
          <w:bCs/>
          <w:color w:val="auto"/>
          <w:sz w:val="24"/>
          <w:szCs w:val="24"/>
        </w:rPr>
        <w:t>1.1. Definición y Objetivos</w:t>
      </w:r>
    </w:p>
    <w:p w14:paraId="6C57B458" w14:textId="77777777" w:rsidR="00F63070" w:rsidRPr="00C77830" w:rsidRDefault="00F63070" w:rsidP="00C77830">
      <w:pPr>
        <w:numPr>
          <w:ilvl w:val="1"/>
          <w:numId w:val="9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La Política Comercial Común (PCC) es un pilar fundamental de las relaciones exteriores de la UE.</w:t>
      </w:r>
    </w:p>
    <w:p w14:paraId="7BAE72E6" w14:textId="77777777" w:rsidR="00F63070" w:rsidRPr="00C77830" w:rsidRDefault="00F63070" w:rsidP="00C77830">
      <w:pPr>
        <w:numPr>
          <w:ilvl w:val="1"/>
          <w:numId w:val="9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Objetivo principal: Liberalizar el comercio mundial mediante la supresión de restricciones y la reducción de barreras arancelarias, promoviendo normas multilaterales.</w:t>
      </w:r>
    </w:p>
    <w:p w14:paraId="6E7AE726" w14:textId="77777777" w:rsidR="00F63070" w:rsidRPr="00C77830" w:rsidRDefault="00F63070" w:rsidP="00C77830">
      <w:pPr>
        <w:numPr>
          <w:ilvl w:val="1"/>
          <w:numId w:val="9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Abarca bienes y servicios.</w:t>
      </w:r>
    </w:p>
    <w:p w14:paraId="7C0297E9" w14:textId="77777777" w:rsidR="00F63070" w:rsidRPr="00C77830" w:rsidRDefault="00F63070" w:rsidP="00C7783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77830">
        <w:rPr>
          <w:rFonts w:ascii="Cambria" w:hAnsi="Cambria"/>
          <w:b/>
          <w:bCs/>
          <w:color w:val="auto"/>
          <w:sz w:val="24"/>
          <w:szCs w:val="24"/>
        </w:rPr>
        <w:t>1.2. Contexto</w:t>
      </w:r>
    </w:p>
    <w:p w14:paraId="0A8AB045" w14:textId="77777777" w:rsidR="00F63070" w:rsidRPr="00C77830" w:rsidRDefault="00F63070" w:rsidP="00C77830">
      <w:pPr>
        <w:numPr>
          <w:ilvl w:val="1"/>
          <w:numId w:val="9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Origen en los Tratados de Roma (TCEE) como una de las 4 políticas comunes.</w:t>
      </w:r>
    </w:p>
    <w:p w14:paraId="05990CD4" w14:textId="77777777" w:rsidR="00F63070" w:rsidRPr="00C77830" w:rsidRDefault="00F63070" w:rsidP="00C77830">
      <w:pPr>
        <w:numPr>
          <w:ilvl w:val="1"/>
          <w:numId w:val="9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La UE es el mayor bloque comercial del mundo (1/5 del comercio mundial), interviniendo con una sola voz.</w:t>
      </w:r>
    </w:p>
    <w:p w14:paraId="5B8DD89C" w14:textId="77777777" w:rsidR="00F63070" w:rsidRPr="00C77830" w:rsidRDefault="00F63070" w:rsidP="00C77830">
      <w:pPr>
        <w:numPr>
          <w:ilvl w:val="1"/>
          <w:numId w:val="9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Evolución del eje de la política: De la liberalización pura a la adopción de normas que respondan a preocupaciones ciudadanas (medioambiente, salud, protección social, diversidad cultural, competencia en PED).</w:t>
      </w:r>
    </w:p>
    <w:p w14:paraId="6BBBD054" w14:textId="1E1461C9" w:rsidR="00F63070" w:rsidRPr="00C77830" w:rsidRDefault="00F63070" w:rsidP="00C77830">
      <w:pPr>
        <w:numPr>
          <w:ilvl w:val="1"/>
          <w:numId w:val="9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Especialización productiva (postcrisis 2008): Bienes de marca de alto valor frente a manufacturas de bajo valor.</w:t>
      </w:r>
    </w:p>
    <w:p w14:paraId="1F3429CB" w14:textId="77777777" w:rsidR="00F63070" w:rsidRPr="00C77830" w:rsidRDefault="00F63070" w:rsidP="00C7783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77830">
        <w:rPr>
          <w:rFonts w:ascii="Cambria" w:hAnsi="Cambria"/>
          <w:b/>
          <w:bCs/>
          <w:color w:val="auto"/>
          <w:sz w:val="24"/>
          <w:szCs w:val="24"/>
        </w:rPr>
        <w:t>1.3. Acuerdos Regionales Relevantes</w:t>
      </w:r>
    </w:p>
    <w:p w14:paraId="2F340D37" w14:textId="77777777" w:rsidR="00F63070" w:rsidRPr="00C77830" w:rsidRDefault="00F63070" w:rsidP="00C77830">
      <w:pPr>
        <w:numPr>
          <w:ilvl w:val="1"/>
          <w:numId w:val="9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TPP (Acuerdo Transpacífico):</w:t>
      </w:r>
      <w:r w:rsidRPr="00C77830">
        <w:rPr>
          <w:rFonts w:ascii="Cambria" w:hAnsi="Cambria"/>
        </w:rPr>
        <w:t xml:space="preserve"> Firmado por 12 potencias en 2016. Tras la salida de EE. UU. (2017), derivó en el TPP-11 (en vigor desde 2018).</w:t>
      </w:r>
    </w:p>
    <w:p w14:paraId="7AEBC0DB" w14:textId="77777777" w:rsidR="00F63070" w:rsidRPr="00C77830" w:rsidRDefault="00F63070" w:rsidP="00C77830">
      <w:pPr>
        <w:numPr>
          <w:ilvl w:val="1"/>
          <w:numId w:val="9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RCEP (Asociación Económica Integral Regional):</w:t>
      </w:r>
    </w:p>
    <w:p w14:paraId="41529582" w14:textId="77777777" w:rsidR="00F63070" w:rsidRPr="00C77830" w:rsidRDefault="00F63070" w:rsidP="00C77830">
      <w:pPr>
        <w:numPr>
          <w:ilvl w:val="2"/>
          <w:numId w:val="9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Firmado en 2020 por ASEAN + 5 (Australia, China, Corea del Sur, Japón, Nueva Zelanda).</w:t>
      </w:r>
    </w:p>
    <w:p w14:paraId="183E7120" w14:textId="77777777" w:rsidR="00F63070" w:rsidRPr="00C77830" w:rsidRDefault="00F63070" w:rsidP="00C77830">
      <w:pPr>
        <w:numPr>
          <w:ilvl w:val="2"/>
          <w:numId w:val="9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En vigor desde el 1 de enero de 2022.</w:t>
      </w:r>
    </w:p>
    <w:p w14:paraId="2E868462" w14:textId="77777777" w:rsidR="00F63070" w:rsidRPr="00C77830" w:rsidRDefault="00F63070" w:rsidP="00C77830">
      <w:pPr>
        <w:numPr>
          <w:ilvl w:val="2"/>
          <w:numId w:val="9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Mayor TLC del mundo (30% población y PIB mundial). Primer acuerdo entre China, Japón y Corea del Sur.</w:t>
      </w:r>
    </w:p>
    <w:p w14:paraId="7991806F" w14:textId="77777777" w:rsidR="00F63070" w:rsidRPr="00C77830" w:rsidRDefault="00F63070" w:rsidP="00C77830">
      <w:pPr>
        <w:numPr>
          <w:ilvl w:val="0"/>
          <w:numId w:val="9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1.4. Nueva Estrategia Comercial (2021)</w:t>
      </w:r>
    </w:p>
    <w:p w14:paraId="5DF9248C" w14:textId="77777777" w:rsidR="00F63070" w:rsidRPr="00C77830" w:rsidRDefault="00F63070" w:rsidP="00C77830">
      <w:pPr>
        <w:numPr>
          <w:ilvl w:val="1"/>
          <w:numId w:val="9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Título: "Una Política Comercial abierta, sostenible y activa" (horizonte 2030).</w:t>
      </w:r>
    </w:p>
    <w:p w14:paraId="39FC0360" w14:textId="77777777" w:rsidR="00F63070" w:rsidRPr="00C77830" w:rsidRDefault="00F63070" w:rsidP="00C77830">
      <w:pPr>
        <w:numPr>
          <w:ilvl w:val="1"/>
          <w:numId w:val="9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lastRenderedPageBreak/>
        <w:t>Ejes: Integración con el Pacto Verde y la Estrategia Digital, recuperación post-COVID y autonomía estratégica abierta.</w:t>
      </w:r>
    </w:p>
    <w:p w14:paraId="141A3EAA" w14:textId="77777777" w:rsidR="00F63070" w:rsidRPr="00C77830" w:rsidRDefault="00F63070" w:rsidP="00C77830">
      <w:pPr>
        <w:numPr>
          <w:ilvl w:val="1"/>
          <w:numId w:val="9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Contexto 2022: Revisión de relaciones y potenciación industrial tras la invasión de Ucrania.</w:t>
      </w:r>
    </w:p>
    <w:p w14:paraId="4DE2A97E" w14:textId="2ED68546" w:rsidR="00F63070" w:rsidRPr="00C77830" w:rsidRDefault="00F63070" w:rsidP="00C7783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77830">
        <w:rPr>
          <w:rFonts w:ascii="Cambria" w:hAnsi="Cambria"/>
          <w:b/>
          <w:bCs/>
          <w:color w:val="auto"/>
          <w:sz w:val="28"/>
          <w:szCs w:val="28"/>
        </w:rPr>
        <w:t xml:space="preserve">2. ORIGEN DE LA POLÍTICA COMERCIAL COMÚN </w:t>
      </w:r>
    </w:p>
    <w:p w14:paraId="0B8D2749" w14:textId="77777777" w:rsidR="00F63070" w:rsidRPr="00C77830" w:rsidRDefault="00F63070" w:rsidP="00C7783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77830">
        <w:rPr>
          <w:rFonts w:ascii="Cambria" w:hAnsi="Cambria"/>
          <w:b/>
          <w:bCs/>
          <w:color w:val="auto"/>
          <w:sz w:val="24"/>
          <w:szCs w:val="24"/>
        </w:rPr>
        <w:t>2.1. Ámbito Internacional</w:t>
      </w:r>
    </w:p>
    <w:p w14:paraId="4128CD32" w14:textId="77777777" w:rsidR="00F63070" w:rsidRPr="00C77830" w:rsidRDefault="00F63070" w:rsidP="00C77830">
      <w:pPr>
        <w:numPr>
          <w:ilvl w:val="1"/>
          <w:numId w:val="10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Creación del GATT (1947): Reducción de la protección nacional a través de 8 rondas.</w:t>
      </w:r>
    </w:p>
    <w:p w14:paraId="5554E169" w14:textId="77777777" w:rsidR="00F63070" w:rsidRPr="00C77830" w:rsidRDefault="00F63070" w:rsidP="00C77830">
      <w:pPr>
        <w:numPr>
          <w:ilvl w:val="1"/>
          <w:numId w:val="10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Creación de la OMC (1995): Sistema basado en normas transparentes. Ronda de Doha lanzada en 2001.</w:t>
      </w:r>
    </w:p>
    <w:p w14:paraId="345868B7" w14:textId="77777777" w:rsidR="00F63070" w:rsidRPr="00C77830" w:rsidRDefault="00F63070" w:rsidP="00C7783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77830">
        <w:rPr>
          <w:rFonts w:ascii="Cambria" w:hAnsi="Cambria"/>
          <w:b/>
          <w:bCs/>
          <w:color w:val="auto"/>
          <w:sz w:val="24"/>
          <w:szCs w:val="24"/>
        </w:rPr>
        <w:t>2.2. Ámbito Europeo</w:t>
      </w:r>
    </w:p>
    <w:p w14:paraId="3EB5F9B7" w14:textId="77777777" w:rsidR="00F63070" w:rsidRPr="00C77830" w:rsidRDefault="00F63070" w:rsidP="00C77830">
      <w:pPr>
        <w:numPr>
          <w:ilvl w:val="1"/>
          <w:numId w:val="10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Tratados de París (1951) y Roma (1957).</w:t>
      </w:r>
    </w:p>
    <w:p w14:paraId="6639B506" w14:textId="77777777" w:rsidR="00F63070" w:rsidRPr="00C77830" w:rsidRDefault="00F63070" w:rsidP="00C77830">
      <w:pPr>
        <w:numPr>
          <w:ilvl w:val="1"/>
          <w:numId w:val="10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Unión Aduanera (1968) y Mercado Único (1993).</w:t>
      </w:r>
    </w:p>
    <w:p w14:paraId="4EE29553" w14:textId="77777777" w:rsidR="00F63070" w:rsidRPr="00C77830" w:rsidRDefault="00F63070" w:rsidP="00C77830">
      <w:pPr>
        <w:numPr>
          <w:ilvl w:val="1"/>
          <w:numId w:val="10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Tratado de Lisboa (2009): Refuerzo de la integración y del papel del Parlamento Europeo.</w:t>
      </w:r>
    </w:p>
    <w:p w14:paraId="65876B70" w14:textId="77777777" w:rsidR="00F63070" w:rsidRPr="00C77830" w:rsidRDefault="00F63070" w:rsidP="00C7783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77830">
        <w:rPr>
          <w:rFonts w:ascii="Cambria" w:hAnsi="Cambria"/>
          <w:b/>
          <w:bCs/>
          <w:color w:val="auto"/>
          <w:sz w:val="24"/>
          <w:szCs w:val="24"/>
        </w:rPr>
        <w:t>2.3. Participación de España</w:t>
      </w:r>
    </w:p>
    <w:p w14:paraId="1731A32C" w14:textId="77777777" w:rsidR="00F63070" w:rsidRPr="00C77830" w:rsidRDefault="00F63070" w:rsidP="00C77830">
      <w:pPr>
        <w:numPr>
          <w:ilvl w:val="1"/>
          <w:numId w:val="10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Ingreso en GATT (1963) y CEE (1986).</w:t>
      </w:r>
    </w:p>
    <w:p w14:paraId="664D8FA5" w14:textId="77777777" w:rsidR="00F63070" w:rsidRPr="00C77830" w:rsidRDefault="00F63070" w:rsidP="00C77830">
      <w:pPr>
        <w:numPr>
          <w:ilvl w:val="1"/>
          <w:numId w:val="10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Cesión de soberanía: La política comercial ya no es autónoma; la Comisión negocia en nombre de los Estados miembros.</w:t>
      </w:r>
    </w:p>
    <w:p w14:paraId="488CA3C7" w14:textId="77777777" w:rsidR="00F63070" w:rsidRPr="00C77830" w:rsidRDefault="00F63070" w:rsidP="00C7783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77830">
        <w:rPr>
          <w:rFonts w:ascii="Cambria" w:hAnsi="Cambria"/>
          <w:b/>
          <w:bCs/>
          <w:color w:val="auto"/>
          <w:sz w:val="28"/>
          <w:szCs w:val="28"/>
        </w:rPr>
        <w:t>3. RÉGIMEN JURÍDICO ACTUAL</w:t>
      </w:r>
    </w:p>
    <w:p w14:paraId="5673E647" w14:textId="77777777" w:rsidR="00F63070" w:rsidRPr="00C77830" w:rsidRDefault="00F63070" w:rsidP="00C7783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77830">
        <w:rPr>
          <w:rFonts w:ascii="Cambria" w:hAnsi="Cambria"/>
          <w:b/>
          <w:bCs/>
          <w:color w:val="auto"/>
          <w:sz w:val="24"/>
          <w:szCs w:val="24"/>
        </w:rPr>
        <w:t>3.1. Base Legal (Tratado de Lisboa)</w:t>
      </w:r>
    </w:p>
    <w:p w14:paraId="37561B98" w14:textId="77777777" w:rsidR="00F63070" w:rsidRPr="00C77830" w:rsidRDefault="00F63070" w:rsidP="00C77830">
      <w:pPr>
        <w:numPr>
          <w:ilvl w:val="1"/>
          <w:numId w:val="11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Artículo 207 TFUE (sustituye al art. 133 TCE).</w:t>
      </w:r>
    </w:p>
    <w:p w14:paraId="7D6D5BF9" w14:textId="77777777" w:rsidR="00F63070" w:rsidRPr="00C77830" w:rsidRDefault="00F63070" w:rsidP="00C77830">
      <w:pPr>
        <w:numPr>
          <w:ilvl w:val="1"/>
          <w:numId w:val="11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La PCC es competencia exclusiva de la UE y pilar de la Acción Exterior.</w:t>
      </w:r>
    </w:p>
    <w:p w14:paraId="676E63C7" w14:textId="683D262D" w:rsidR="00F63070" w:rsidRPr="00C77830" w:rsidRDefault="00F63070" w:rsidP="00C77830">
      <w:pPr>
        <w:numPr>
          <w:ilvl w:val="1"/>
          <w:numId w:val="11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Ámbito ampliado: Mercancías, servicios, propiedad intelectual e industrial, Inversión Extranjera Directa, medidas de liberalización y defensa comercial.</w:t>
      </w:r>
    </w:p>
    <w:p w14:paraId="10F6C11B" w14:textId="77777777" w:rsidR="00F63070" w:rsidRPr="00C77830" w:rsidRDefault="00F63070" w:rsidP="00C7783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77830">
        <w:rPr>
          <w:rFonts w:ascii="Cambria" w:hAnsi="Cambria"/>
          <w:b/>
          <w:bCs/>
          <w:color w:val="auto"/>
          <w:sz w:val="24"/>
          <w:szCs w:val="24"/>
        </w:rPr>
        <w:t>3.2. Novedades del Tratado de Lisboa</w:t>
      </w:r>
    </w:p>
    <w:p w14:paraId="655AED4B" w14:textId="77777777" w:rsidR="00F63070" w:rsidRPr="00C77830" w:rsidRDefault="00F63070" w:rsidP="00C77830">
      <w:pPr>
        <w:numPr>
          <w:ilvl w:val="1"/>
          <w:numId w:val="11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Competencias exclusivas:</w:t>
      </w:r>
      <w:r w:rsidRPr="00C77830">
        <w:rPr>
          <w:rFonts w:ascii="Cambria" w:hAnsi="Cambria"/>
        </w:rPr>
        <w:t xml:space="preserve"> Inclusión expresa de servicios, propiedad intelectual e IED.</w:t>
      </w:r>
    </w:p>
    <w:p w14:paraId="6C4E30D5" w14:textId="77777777" w:rsidR="00F63070" w:rsidRPr="00C77830" w:rsidRDefault="00F63070" w:rsidP="00C77830">
      <w:pPr>
        <w:numPr>
          <w:ilvl w:val="1"/>
          <w:numId w:val="11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Toma de decisiones:</w:t>
      </w:r>
      <w:r w:rsidRPr="00C77830">
        <w:rPr>
          <w:rFonts w:ascii="Cambria" w:hAnsi="Cambria"/>
        </w:rPr>
        <w:t xml:space="preserve"> Regla general de mayoría cualificada en el Consejo (unanimidad excepcional).</w:t>
      </w:r>
    </w:p>
    <w:p w14:paraId="0EB44C60" w14:textId="008CB0C8" w:rsidR="00F63070" w:rsidRPr="00C77830" w:rsidRDefault="00F63070" w:rsidP="00C77830">
      <w:pPr>
        <w:numPr>
          <w:ilvl w:val="1"/>
          <w:numId w:val="11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lastRenderedPageBreak/>
        <w:t>Inversiones:</w:t>
      </w:r>
      <w:r w:rsidRPr="00C77830">
        <w:rPr>
          <w:rFonts w:ascii="Cambria" w:hAnsi="Cambria"/>
        </w:rPr>
        <w:t xml:space="preserve"> Sustitución progresiva de los </w:t>
      </w:r>
      <w:proofErr w:type="spellStart"/>
      <w:r w:rsidRPr="00C77830">
        <w:rPr>
          <w:rFonts w:ascii="Cambria" w:hAnsi="Cambria"/>
        </w:rPr>
        <w:t>APPRIs</w:t>
      </w:r>
      <w:proofErr w:type="spellEnd"/>
      <w:r w:rsidRPr="00C77830">
        <w:rPr>
          <w:rFonts w:ascii="Cambria" w:hAnsi="Cambria"/>
        </w:rPr>
        <w:t xml:space="preserve"> nacionales por acuerdos de la UE.</w:t>
      </w:r>
    </w:p>
    <w:p w14:paraId="35E2AF0E" w14:textId="77777777" w:rsidR="00F63070" w:rsidRPr="00C77830" w:rsidRDefault="00F63070" w:rsidP="00C77830">
      <w:pPr>
        <w:numPr>
          <w:ilvl w:val="1"/>
          <w:numId w:val="11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Papel del Parlamento Europeo:</w:t>
      </w:r>
    </w:p>
    <w:p w14:paraId="54627E0E" w14:textId="77777777" w:rsidR="00F63070" w:rsidRPr="00C77830" w:rsidRDefault="00F63070" w:rsidP="00C77830">
      <w:pPr>
        <w:numPr>
          <w:ilvl w:val="2"/>
          <w:numId w:val="11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Codecisión (Procedimiento Legislativo Ordinario) para el marco de aplicación.</w:t>
      </w:r>
    </w:p>
    <w:p w14:paraId="618AD459" w14:textId="77777777" w:rsidR="00F63070" w:rsidRPr="00C77830" w:rsidRDefault="00F63070" w:rsidP="00C77830">
      <w:pPr>
        <w:numPr>
          <w:ilvl w:val="2"/>
          <w:numId w:val="11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Aprobación necesaria para la conclusión de acuerdos (poder de veto).</w:t>
      </w:r>
    </w:p>
    <w:p w14:paraId="26013E70" w14:textId="77777777" w:rsidR="00F63070" w:rsidRPr="00C77830" w:rsidRDefault="00F63070" w:rsidP="00C77830">
      <w:pPr>
        <w:numPr>
          <w:ilvl w:val="2"/>
          <w:numId w:val="11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Derecho a ser informado durante las negociaciones.</w:t>
      </w:r>
    </w:p>
    <w:p w14:paraId="18C51BF1" w14:textId="77777777" w:rsidR="00F63070" w:rsidRPr="00C77830" w:rsidRDefault="00F63070" w:rsidP="00C7783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77830">
        <w:rPr>
          <w:rFonts w:ascii="Cambria" w:hAnsi="Cambria"/>
          <w:b/>
          <w:bCs/>
          <w:color w:val="auto"/>
          <w:sz w:val="24"/>
          <w:szCs w:val="24"/>
        </w:rPr>
        <w:t>3.3. Ciclo de Negociación</w:t>
      </w:r>
    </w:p>
    <w:p w14:paraId="5CCDAA71" w14:textId="77777777" w:rsidR="00F63070" w:rsidRPr="00C77830" w:rsidRDefault="00F63070" w:rsidP="00C77830">
      <w:pPr>
        <w:numPr>
          <w:ilvl w:val="1"/>
          <w:numId w:val="12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Comisión propone mandato / Consejo aprueba.</w:t>
      </w:r>
    </w:p>
    <w:p w14:paraId="59108C3D" w14:textId="77777777" w:rsidR="00F63070" w:rsidRPr="00C77830" w:rsidRDefault="00F63070" w:rsidP="00C77830">
      <w:pPr>
        <w:numPr>
          <w:ilvl w:val="1"/>
          <w:numId w:val="12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Negociación (Comisión informa al PE y consulta a Estados miembros).</w:t>
      </w:r>
    </w:p>
    <w:p w14:paraId="6AE0DC2B" w14:textId="77777777" w:rsidR="00F63070" w:rsidRPr="00C77830" w:rsidRDefault="00F63070" w:rsidP="00C77830">
      <w:pPr>
        <w:numPr>
          <w:ilvl w:val="1"/>
          <w:numId w:val="12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Firma (autorizada por Consejo).</w:t>
      </w:r>
    </w:p>
    <w:p w14:paraId="4F6B5FEC" w14:textId="77777777" w:rsidR="00F63070" w:rsidRPr="00C77830" w:rsidRDefault="00F63070" w:rsidP="00C77830">
      <w:pPr>
        <w:numPr>
          <w:ilvl w:val="1"/>
          <w:numId w:val="12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Conclusión (Consejo autoriza previa aprobación del PE).</w:t>
      </w:r>
    </w:p>
    <w:p w14:paraId="654BB5C7" w14:textId="77777777" w:rsidR="00F63070" w:rsidRPr="00C77830" w:rsidRDefault="00F63070" w:rsidP="00C7783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77830">
        <w:rPr>
          <w:rFonts w:ascii="Cambria" w:hAnsi="Cambria"/>
          <w:b/>
          <w:bCs/>
          <w:color w:val="auto"/>
          <w:sz w:val="24"/>
          <w:szCs w:val="24"/>
        </w:rPr>
        <w:t>3.4. Órganos</w:t>
      </w:r>
    </w:p>
    <w:p w14:paraId="2489735A" w14:textId="77777777" w:rsidR="00F63070" w:rsidRPr="00C77830" w:rsidRDefault="00F63070" w:rsidP="00C77830">
      <w:pPr>
        <w:numPr>
          <w:ilvl w:val="1"/>
          <w:numId w:val="11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Comité de Política Comercial:</w:t>
      </w:r>
      <w:r w:rsidRPr="00C77830">
        <w:rPr>
          <w:rFonts w:ascii="Cambria" w:hAnsi="Cambria"/>
        </w:rPr>
        <w:t xml:space="preserve"> Fija la posición comunitaria.</w:t>
      </w:r>
    </w:p>
    <w:p w14:paraId="481B184A" w14:textId="77777777" w:rsidR="00F63070" w:rsidRPr="00C77830" w:rsidRDefault="00F63070" w:rsidP="00C77830">
      <w:pPr>
        <w:numPr>
          <w:ilvl w:val="2"/>
          <w:numId w:val="11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Titulares (mensual): Define líneas de acción.</w:t>
      </w:r>
    </w:p>
    <w:p w14:paraId="527FAB7E" w14:textId="77777777" w:rsidR="00F63070" w:rsidRPr="00C77830" w:rsidRDefault="00F63070" w:rsidP="00C77830">
      <w:pPr>
        <w:numPr>
          <w:ilvl w:val="2"/>
          <w:numId w:val="11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Suplentes (semanal).</w:t>
      </w:r>
    </w:p>
    <w:p w14:paraId="06E2EE19" w14:textId="77777777" w:rsidR="00F63070" w:rsidRPr="00C77830" w:rsidRDefault="00F63070" w:rsidP="00C77830">
      <w:pPr>
        <w:numPr>
          <w:ilvl w:val="2"/>
          <w:numId w:val="11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Formaciones especializadas (Servicios, Acero, etc.).</w:t>
      </w:r>
    </w:p>
    <w:p w14:paraId="4AD4E915" w14:textId="77777777" w:rsidR="00F63070" w:rsidRPr="00C77830" w:rsidRDefault="00F63070" w:rsidP="00C7783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77830">
        <w:rPr>
          <w:rFonts w:ascii="Cambria" w:hAnsi="Cambria"/>
          <w:b/>
          <w:bCs/>
          <w:color w:val="auto"/>
          <w:sz w:val="28"/>
          <w:szCs w:val="28"/>
        </w:rPr>
        <w:t>4. FUNCIONAMIENTO DE LA POLÍTICA COMERCIAL</w:t>
      </w:r>
    </w:p>
    <w:p w14:paraId="64FEA6B7" w14:textId="77777777" w:rsidR="00F63070" w:rsidRPr="00C77830" w:rsidRDefault="00F63070" w:rsidP="00C7783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77830">
        <w:rPr>
          <w:rFonts w:ascii="Cambria" w:hAnsi="Cambria"/>
          <w:b/>
          <w:bCs/>
          <w:color w:val="auto"/>
          <w:sz w:val="24"/>
          <w:szCs w:val="24"/>
        </w:rPr>
        <w:t>4.1. Objetivos Operativos</w:t>
      </w:r>
    </w:p>
    <w:p w14:paraId="184E9D63" w14:textId="0F05D708" w:rsidR="00F63070" w:rsidRPr="00C77830" w:rsidRDefault="00F63070" w:rsidP="00C77830">
      <w:pPr>
        <w:numPr>
          <w:ilvl w:val="1"/>
          <w:numId w:val="13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Apertura de mercados, eliminación de barreras y establecimiento de reglas de juego iguales.</w:t>
      </w:r>
    </w:p>
    <w:p w14:paraId="1AF8AFD1" w14:textId="77777777" w:rsidR="00F63070" w:rsidRPr="00C77830" w:rsidRDefault="00F63070" w:rsidP="00C7783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77830">
        <w:rPr>
          <w:rFonts w:ascii="Cambria" w:hAnsi="Cambria"/>
          <w:b/>
          <w:bCs/>
          <w:color w:val="auto"/>
          <w:sz w:val="24"/>
          <w:szCs w:val="24"/>
        </w:rPr>
        <w:t>4.2. Niveles de Actuación</w:t>
      </w:r>
    </w:p>
    <w:p w14:paraId="517D9807" w14:textId="77777777" w:rsidR="00F63070" w:rsidRPr="00C77830" w:rsidRDefault="00F63070" w:rsidP="00C77830">
      <w:pPr>
        <w:numPr>
          <w:ilvl w:val="1"/>
          <w:numId w:val="14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Multilateral:</w:t>
      </w:r>
      <w:r w:rsidRPr="00C77830">
        <w:rPr>
          <w:rFonts w:ascii="Cambria" w:hAnsi="Cambria"/>
        </w:rPr>
        <w:t xml:space="preserve"> Marco OMC (Prioridad: conclusión Ronda Doha).</w:t>
      </w:r>
    </w:p>
    <w:p w14:paraId="5A3E19BC" w14:textId="77777777" w:rsidR="00F63070" w:rsidRPr="00C77830" w:rsidRDefault="00F63070" w:rsidP="00C77830">
      <w:pPr>
        <w:numPr>
          <w:ilvl w:val="1"/>
          <w:numId w:val="14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Bilateral:</w:t>
      </w:r>
      <w:r w:rsidRPr="00C77830">
        <w:rPr>
          <w:rFonts w:ascii="Cambria" w:hAnsi="Cambria"/>
        </w:rPr>
        <w:t xml:space="preserve"> Acuerdos de Libre Comercio (apertura de mercados) y Acuerdos de Asociación/Cooperación con socios estratégicos.</w:t>
      </w:r>
    </w:p>
    <w:p w14:paraId="1B6E2F4B" w14:textId="77777777" w:rsidR="00F63070" w:rsidRPr="00C77830" w:rsidRDefault="00F63070" w:rsidP="00C77830">
      <w:pPr>
        <w:numPr>
          <w:ilvl w:val="1"/>
          <w:numId w:val="14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Unilateral:</w:t>
      </w:r>
    </w:p>
    <w:p w14:paraId="6D191C98" w14:textId="77777777" w:rsidR="00F63070" w:rsidRPr="00C77830" w:rsidRDefault="00F63070" w:rsidP="00C77830">
      <w:pPr>
        <w:numPr>
          <w:ilvl w:val="2"/>
          <w:numId w:val="14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 xml:space="preserve">Defensa comercial (antidumping, </w:t>
      </w:r>
      <w:proofErr w:type="spellStart"/>
      <w:r w:rsidRPr="00C77830">
        <w:rPr>
          <w:rFonts w:ascii="Cambria" w:hAnsi="Cambria"/>
        </w:rPr>
        <w:t>antisubvención</w:t>
      </w:r>
      <w:proofErr w:type="spellEnd"/>
      <w:r w:rsidRPr="00C77830">
        <w:rPr>
          <w:rFonts w:ascii="Cambria" w:hAnsi="Cambria"/>
        </w:rPr>
        <w:t>) para garantizar competencia leal.</w:t>
      </w:r>
    </w:p>
    <w:p w14:paraId="776AF6F1" w14:textId="19C42E6D" w:rsidR="00F63070" w:rsidRPr="00C77830" w:rsidRDefault="00F63070" w:rsidP="00C77830">
      <w:pPr>
        <w:numPr>
          <w:ilvl w:val="2"/>
          <w:numId w:val="14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SPG</w:t>
      </w:r>
      <w:r w:rsidR="00C77830">
        <w:rPr>
          <w:rFonts w:ascii="Cambria" w:hAnsi="Cambria"/>
        </w:rPr>
        <w:t xml:space="preserve"> </w:t>
      </w:r>
      <w:r w:rsidRPr="00C77830">
        <w:rPr>
          <w:rFonts w:ascii="Cambria" w:hAnsi="Cambria"/>
        </w:rPr>
        <w:t>para Países en Desarrollo.</w:t>
      </w:r>
    </w:p>
    <w:p w14:paraId="5D9061FA" w14:textId="77777777" w:rsidR="00F63070" w:rsidRPr="00C77830" w:rsidRDefault="00F63070" w:rsidP="00C77830">
      <w:p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lastRenderedPageBreak/>
        <w:t>5. ACUERDOS DE LIBERALIZACIÓN COMERCIAL</w:t>
      </w:r>
    </w:p>
    <w:p w14:paraId="070B995A" w14:textId="77777777" w:rsidR="00F63070" w:rsidRPr="00C77830" w:rsidRDefault="00F63070" w:rsidP="00C7783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77830">
        <w:rPr>
          <w:rFonts w:ascii="Cambria" w:hAnsi="Cambria"/>
          <w:b/>
          <w:bCs/>
          <w:color w:val="auto"/>
          <w:sz w:val="24"/>
          <w:szCs w:val="24"/>
        </w:rPr>
        <w:t>5.1. Tipología de Acuerdos</w:t>
      </w:r>
    </w:p>
    <w:p w14:paraId="6306C9E4" w14:textId="3F29009E" w:rsidR="00F63070" w:rsidRPr="00C77830" w:rsidRDefault="00F63070" w:rsidP="00C77830">
      <w:pPr>
        <w:numPr>
          <w:ilvl w:val="1"/>
          <w:numId w:val="15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No Preferenciales:</w:t>
      </w:r>
      <w:r w:rsidRPr="00C77830">
        <w:rPr>
          <w:rFonts w:ascii="Cambria" w:hAnsi="Cambria"/>
        </w:rPr>
        <w:t xml:space="preserve"> Aplican Cláusula de Nación Más Favorecida. Enfocados en cooperación e integración económica (ej. socios estratégicos como EE. UU., China).</w:t>
      </w:r>
    </w:p>
    <w:p w14:paraId="167C1283" w14:textId="15418A39" w:rsidR="00F63070" w:rsidRPr="00C77830" w:rsidRDefault="00F63070" w:rsidP="00C77830">
      <w:pPr>
        <w:numPr>
          <w:ilvl w:val="1"/>
          <w:numId w:val="15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Preferenciales:</w:t>
      </w:r>
      <w:r w:rsidRPr="00C77830">
        <w:rPr>
          <w:rFonts w:ascii="Cambria" w:hAnsi="Cambria"/>
        </w:rPr>
        <w:t xml:space="preserve"> Otorgan ventajas superiores a NMF. Requisitos OMC:</w:t>
      </w:r>
    </w:p>
    <w:p w14:paraId="30DEE789" w14:textId="77777777" w:rsidR="00F63070" w:rsidRPr="00C77830" w:rsidRDefault="00F63070" w:rsidP="00C77830">
      <w:pPr>
        <w:numPr>
          <w:ilvl w:val="2"/>
          <w:numId w:val="15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90% comercio de mercancías libre de aranceles.</w:t>
      </w:r>
    </w:p>
    <w:p w14:paraId="7265323B" w14:textId="77777777" w:rsidR="00F63070" w:rsidRPr="00C77830" w:rsidRDefault="00F63070" w:rsidP="00C77830">
      <w:pPr>
        <w:numPr>
          <w:ilvl w:val="2"/>
          <w:numId w:val="15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Liberalización sustancial de servicios.</w:t>
      </w:r>
    </w:p>
    <w:p w14:paraId="2F44FBDE" w14:textId="77777777" w:rsidR="00F63070" w:rsidRPr="00C77830" w:rsidRDefault="00F63070" w:rsidP="00C77830">
      <w:pPr>
        <w:numPr>
          <w:ilvl w:val="2"/>
          <w:numId w:val="15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No elevar protección frente a terceros.</w:t>
      </w:r>
    </w:p>
    <w:p w14:paraId="047F4600" w14:textId="77777777" w:rsidR="00F63070" w:rsidRPr="00C77830" w:rsidRDefault="00F63070" w:rsidP="00C7783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77830">
        <w:rPr>
          <w:rFonts w:ascii="Cambria" w:hAnsi="Cambria"/>
          <w:b/>
          <w:bCs/>
          <w:color w:val="auto"/>
          <w:sz w:val="24"/>
          <w:szCs w:val="24"/>
        </w:rPr>
        <w:t>5.2. Contenido de los Acuerdos Preferenciales</w:t>
      </w:r>
    </w:p>
    <w:p w14:paraId="21AD1304" w14:textId="77777777" w:rsidR="00F63070" w:rsidRPr="00C77830" w:rsidRDefault="00F63070" w:rsidP="00C77830">
      <w:pPr>
        <w:numPr>
          <w:ilvl w:val="1"/>
          <w:numId w:val="15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Mercancías (desarme arancelario).</w:t>
      </w:r>
    </w:p>
    <w:p w14:paraId="07BF4FF5" w14:textId="77777777" w:rsidR="00F63070" w:rsidRPr="00C77830" w:rsidRDefault="00F63070" w:rsidP="00C77830">
      <w:pPr>
        <w:numPr>
          <w:ilvl w:val="1"/>
          <w:numId w:val="15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Servicios (4 modos de suministro).</w:t>
      </w:r>
    </w:p>
    <w:p w14:paraId="516B12C4" w14:textId="77777777" w:rsidR="00F63070" w:rsidRPr="00C77830" w:rsidRDefault="00F63070" w:rsidP="00C77830">
      <w:pPr>
        <w:numPr>
          <w:ilvl w:val="1"/>
          <w:numId w:val="15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Inversiones (establecimiento y pagos).</w:t>
      </w:r>
    </w:p>
    <w:p w14:paraId="13BBBBDA" w14:textId="77777777" w:rsidR="00F63070" w:rsidRPr="00C77830" w:rsidRDefault="00F63070" w:rsidP="00C77830">
      <w:pPr>
        <w:numPr>
          <w:ilvl w:val="1"/>
          <w:numId w:val="15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Propiedad Intelectual (ADPIC/TRIPS+).</w:t>
      </w:r>
    </w:p>
    <w:p w14:paraId="24225B16" w14:textId="77777777" w:rsidR="00F63070" w:rsidRPr="00C77830" w:rsidRDefault="00F63070" w:rsidP="00C77830">
      <w:pPr>
        <w:numPr>
          <w:ilvl w:val="1"/>
          <w:numId w:val="15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Contratación pública.</w:t>
      </w:r>
    </w:p>
    <w:p w14:paraId="550D1A02" w14:textId="77777777" w:rsidR="00F63070" w:rsidRPr="00C77830" w:rsidRDefault="00F63070" w:rsidP="00C77830">
      <w:pPr>
        <w:numPr>
          <w:ilvl w:val="1"/>
          <w:numId w:val="15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Facilitación del comercio, normas de origen y solución de diferencias.</w:t>
      </w:r>
    </w:p>
    <w:p w14:paraId="72AB8F59" w14:textId="77777777" w:rsidR="00F63070" w:rsidRPr="00C77830" w:rsidRDefault="00F63070" w:rsidP="00C77830">
      <w:pPr>
        <w:numPr>
          <w:ilvl w:val="1"/>
          <w:numId w:val="15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Desarrollo sostenible y compromisos de no elevar barreras.</w:t>
      </w:r>
    </w:p>
    <w:p w14:paraId="3AA73441" w14:textId="1E0C027D" w:rsidR="00F63070" w:rsidRPr="00C77830" w:rsidRDefault="00F63070" w:rsidP="00C7783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77830">
        <w:rPr>
          <w:rFonts w:ascii="Cambria" w:hAnsi="Cambria"/>
          <w:b/>
          <w:bCs/>
          <w:color w:val="auto"/>
          <w:sz w:val="24"/>
          <w:szCs w:val="24"/>
        </w:rPr>
        <w:t>5.1. Acuerdos de Libre Comercio firmados</w:t>
      </w:r>
    </w:p>
    <w:p w14:paraId="3B8C833F" w14:textId="4B903CF8" w:rsidR="00F63070" w:rsidRPr="00C77830" w:rsidRDefault="00F63070" w:rsidP="00C77830">
      <w:pPr>
        <w:numPr>
          <w:ilvl w:val="0"/>
          <w:numId w:val="16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Corea del Sur (2011):</w:t>
      </w:r>
      <w:r w:rsidRPr="00C77830">
        <w:rPr>
          <w:rFonts w:ascii="Cambria" w:hAnsi="Cambria"/>
        </w:rPr>
        <w:t xml:space="preserve"> Primer ALC de</w:t>
      </w:r>
      <w:r w:rsidR="007F2A79">
        <w:rPr>
          <w:rFonts w:ascii="Cambria" w:hAnsi="Cambria"/>
        </w:rPr>
        <w:t xml:space="preserve"> </w:t>
      </w:r>
      <w:r w:rsidRPr="00C77830">
        <w:rPr>
          <w:rFonts w:ascii="Cambria" w:hAnsi="Cambria"/>
        </w:rPr>
        <w:t>nueva generació</w:t>
      </w:r>
      <w:r w:rsidR="007F2A79">
        <w:rPr>
          <w:rFonts w:ascii="Cambria" w:hAnsi="Cambria"/>
        </w:rPr>
        <w:t>n</w:t>
      </w:r>
      <w:r w:rsidRPr="00C77830">
        <w:rPr>
          <w:rFonts w:ascii="Cambria" w:hAnsi="Cambria"/>
        </w:rPr>
        <w:t xml:space="preserve"> y primero con un país asiático. Eliminación casi total de aranceles industriales y agrícolas.</w:t>
      </w:r>
    </w:p>
    <w:p w14:paraId="1893D55E" w14:textId="77777777" w:rsidR="00F63070" w:rsidRPr="00C77830" w:rsidRDefault="00F63070" w:rsidP="00C77830">
      <w:pPr>
        <w:numPr>
          <w:ilvl w:val="0"/>
          <w:numId w:val="16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Singapur (2019):</w:t>
      </w:r>
      <w:r w:rsidRPr="00C77830">
        <w:rPr>
          <w:rFonts w:ascii="Cambria" w:hAnsi="Cambria"/>
        </w:rPr>
        <w:t xml:space="preserve"> Puerta a ASEAN. Incluye ALC y Acuerdo de Protección de Inversiones.</w:t>
      </w:r>
    </w:p>
    <w:p w14:paraId="7A6D2394" w14:textId="77777777" w:rsidR="00F63070" w:rsidRPr="00C77830" w:rsidRDefault="00F63070" w:rsidP="00C77830">
      <w:pPr>
        <w:numPr>
          <w:ilvl w:val="0"/>
          <w:numId w:val="16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Ucrania (2016):</w:t>
      </w:r>
      <w:r w:rsidRPr="00C77830">
        <w:rPr>
          <w:rFonts w:ascii="Cambria" w:hAnsi="Cambria"/>
        </w:rPr>
        <w:t xml:space="preserve"> Acuerdo de Asociación y Zona de Libre Comercio de alcance Amplio y Profundo (DCFTA).</w:t>
      </w:r>
    </w:p>
    <w:p w14:paraId="47FAD9F4" w14:textId="77777777" w:rsidR="00F63070" w:rsidRPr="00C77830" w:rsidRDefault="00F63070" w:rsidP="00C77830">
      <w:pPr>
        <w:numPr>
          <w:ilvl w:val="1"/>
          <w:numId w:val="16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Contexto bélico: Suspensión de aranceles y medidas de defensa comercial por la UE (2022-2025). Candidato a la UE desde junio 2022.</w:t>
      </w:r>
    </w:p>
    <w:p w14:paraId="7D8842C6" w14:textId="77777777" w:rsidR="00F63070" w:rsidRPr="00C77830" w:rsidRDefault="00F63070" w:rsidP="00C77830">
      <w:pPr>
        <w:numPr>
          <w:ilvl w:val="0"/>
          <w:numId w:val="16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Canadá (CETA, 2017):</w:t>
      </w:r>
    </w:p>
    <w:p w14:paraId="6F769DAA" w14:textId="77777777" w:rsidR="00F63070" w:rsidRPr="00C77830" w:rsidRDefault="00F63070" w:rsidP="00C77830">
      <w:pPr>
        <w:numPr>
          <w:ilvl w:val="1"/>
          <w:numId w:val="16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Primer acuerdo con un país desarrollado (G-8). Modelo para otros pactos.</w:t>
      </w:r>
    </w:p>
    <w:p w14:paraId="348B66CA" w14:textId="77777777" w:rsidR="00F63070" w:rsidRPr="00C77830" w:rsidRDefault="00F63070" w:rsidP="00C77830">
      <w:pPr>
        <w:numPr>
          <w:ilvl w:val="1"/>
          <w:numId w:val="16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Suprime &gt;99% aranceles, liberaliza servicios y compras públicas (incluyendo entidades federadas).</w:t>
      </w:r>
    </w:p>
    <w:p w14:paraId="62F319BD" w14:textId="77777777" w:rsidR="00F63070" w:rsidRPr="00C77830" w:rsidRDefault="00F63070" w:rsidP="00C77830">
      <w:pPr>
        <w:numPr>
          <w:ilvl w:val="1"/>
          <w:numId w:val="16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lastRenderedPageBreak/>
        <w:t>Protección de Indicaciones Geográficas y cooperación en materias primas.</w:t>
      </w:r>
    </w:p>
    <w:p w14:paraId="232F5701" w14:textId="77777777" w:rsidR="00F63070" w:rsidRPr="00C77830" w:rsidRDefault="00F63070" w:rsidP="00C77830">
      <w:pPr>
        <w:numPr>
          <w:ilvl w:val="0"/>
          <w:numId w:val="16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Japón (2019):</w:t>
      </w:r>
    </w:p>
    <w:p w14:paraId="6A29980E" w14:textId="77777777" w:rsidR="00F63070" w:rsidRPr="00C77830" w:rsidRDefault="00F63070" w:rsidP="00C77830">
      <w:pPr>
        <w:numPr>
          <w:ilvl w:val="1"/>
          <w:numId w:val="16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Crea la mayor zona económica abierta del mundo.</w:t>
      </w:r>
    </w:p>
    <w:p w14:paraId="58BB30FE" w14:textId="77777777" w:rsidR="00F63070" w:rsidRPr="00C77830" w:rsidRDefault="00F63070" w:rsidP="00C77830">
      <w:pPr>
        <w:numPr>
          <w:ilvl w:val="1"/>
          <w:numId w:val="16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Elimina aranceles clave (coches japoneses vs. queso/vino/carne UE) y abre licitaciones públicas.</w:t>
      </w:r>
    </w:p>
    <w:p w14:paraId="20536D4C" w14:textId="77777777" w:rsidR="00F63070" w:rsidRPr="00C77830" w:rsidRDefault="00F63070" w:rsidP="00C77830">
      <w:pPr>
        <w:numPr>
          <w:ilvl w:val="1"/>
          <w:numId w:val="16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Altos estándares en desarrollo sostenible (referencia al Acuerdo de París).</w:t>
      </w:r>
    </w:p>
    <w:p w14:paraId="3B94BB1A" w14:textId="77777777" w:rsidR="00F63070" w:rsidRPr="00C77830" w:rsidRDefault="00F63070" w:rsidP="00C7783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77830">
        <w:rPr>
          <w:rFonts w:ascii="Cambria" w:hAnsi="Cambria"/>
          <w:b/>
          <w:bCs/>
          <w:color w:val="auto"/>
          <w:sz w:val="24"/>
          <w:szCs w:val="24"/>
        </w:rPr>
        <w:t>5.2. Acuerdos en negociación</w:t>
      </w:r>
    </w:p>
    <w:p w14:paraId="53DA9AA7" w14:textId="77777777" w:rsidR="00F63070" w:rsidRPr="00C77830" w:rsidRDefault="00F63070" w:rsidP="00C77830">
      <w:pPr>
        <w:numPr>
          <w:ilvl w:val="0"/>
          <w:numId w:val="17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India:</w:t>
      </w:r>
    </w:p>
    <w:p w14:paraId="046BDA14" w14:textId="77777777" w:rsidR="00F63070" w:rsidRPr="00C77830" w:rsidRDefault="00F63070" w:rsidP="00C77830">
      <w:pPr>
        <w:numPr>
          <w:ilvl w:val="1"/>
          <w:numId w:val="17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 xml:space="preserve">Negociaciones reanudadas en 2021 (ALC, Inversiones e </w:t>
      </w:r>
      <w:proofErr w:type="spellStart"/>
      <w:r w:rsidRPr="00C77830">
        <w:rPr>
          <w:rFonts w:ascii="Cambria" w:hAnsi="Cambria"/>
        </w:rPr>
        <w:t>IGs</w:t>
      </w:r>
      <w:proofErr w:type="spellEnd"/>
      <w:r w:rsidRPr="00C77830">
        <w:rPr>
          <w:rFonts w:ascii="Cambria" w:hAnsi="Cambria"/>
        </w:rPr>
        <w:t>).</w:t>
      </w:r>
    </w:p>
    <w:p w14:paraId="3899E9D6" w14:textId="77777777" w:rsidR="00F63070" w:rsidRPr="00C77830" w:rsidRDefault="00F63070" w:rsidP="00C77830">
      <w:pPr>
        <w:numPr>
          <w:ilvl w:val="1"/>
          <w:numId w:val="17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Asociación sobre Conectividad y Consejo de Comercio y Tecnología.</w:t>
      </w:r>
    </w:p>
    <w:p w14:paraId="03AC95E8" w14:textId="77777777" w:rsidR="00F63070" w:rsidRPr="00C77830" w:rsidRDefault="00F63070" w:rsidP="00C77830">
      <w:pPr>
        <w:numPr>
          <w:ilvl w:val="1"/>
          <w:numId w:val="17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Contexto: Contrapeso a China y colaboración estratégica.</w:t>
      </w:r>
    </w:p>
    <w:p w14:paraId="0EFF8C9F" w14:textId="77777777" w:rsidR="00F63070" w:rsidRPr="00C77830" w:rsidRDefault="00F63070" w:rsidP="00C77830">
      <w:pPr>
        <w:numPr>
          <w:ilvl w:val="0"/>
          <w:numId w:val="17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MERCOSUR:</w:t>
      </w:r>
    </w:p>
    <w:p w14:paraId="7CC27119" w14:textId="77777777" w:rsidR="00F63070" w:rsidRPr="00C77830" w:rsidRDefault="00F63070" w:rsidP="00C77830">
      <w:pPr>
        <w:numPr>
          <w:ilvl w:val="1"/>
          <w:numId w:val="17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Acuerdo de Principio alcanzado en junio 2019 tras 20 años de negociación.</w:t>
      </w:r>
    </w:p>
    <w:p w14:paraId="4A79B4E8" w14:textId="77777777" w:rsidR="00F63070" w:rsidRPr="00C77830" w:rsidRDefault="00F63070" w:rsidP="00C77830">
      <w:pPr>
        <w:numPr>
          <w:ilvl w:val="1"/>
          <w:numId w:val="17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Primer gran socio comercial de Mercosur. Ahorro de 4.000 M€ en aranceles.</w:t>
      </w:r>
    </w:p>
    <w:p w14:paraId="3A1E069E" w14:textId="77777777" w:rsidR="00F63070" w:rsidRPr="00C77830" w:rsidRDefault="00F63070" w:rsidP="00C77830">
      <w:pPr>
        <w:numPr>
          <w:ilvl w:val="1"/>
          <w:numId w:val="17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Pendiente de ratificación (dificultades por cuestiones medioambientales).</w:t>
      </w:r>
    </w:p>
    <w:p w14:paraId="2CF0A92D" w14:textId="77777777" w:rsidR="00F63070" w:rsidRPr="00C77830" w:rsidRDefault="00F63070" w:rsidP="00C77830">
      <w:pPr>
        <w:numPr>
          <w:ilvl w:val="0"/>
          <w:numId w:val="17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EE. UU. (TTIP):</w:t>
      </w:r>
    </w:p>
    <w:p w14:paraId="2796EBA8" w14:textId="77777777" w:rsidR="00F63070" w:rsidRPr="00C77830" w:rsidRDefault="00F63070" w:rsidP="00C77830">
      <w:pPr>
        <w:numPr>
          <w:ilvl w:val="1"/>
          <w:numId w:val="17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Negociación lanzada en 2013 con objetivo geoestratégico y regulatorio. Suspendida en 2016.</w:t>
      </w:r>
    </w:p>
    <w:p w14:paraId="63DB4A5F" w14:textId="77777777" w:rsidR="00F63070" w:rsidRPr="00C77830" w:rsidRDefault="00F63070" w:rsidP="00C77830">
      <w:pPr>
        <w:numPr>
          <w:ilvl w:val="1"/>
          <w:numId w:val="17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Era Trump:</w:t>
      </w:r>
      <w:r w:rsidRPr="00C77830">
        <w:rPr>
          <w:rFonts w:ascii="Cambria" w:hAnsi="Cambria"/>
        </w:rPr>
        <w:t xml:space="preserve"> Proteccionismo, aranceles al acero/aluminio y disputa Airbus-Boeing.</w:t>
      </w:r>
    </w:p>
    <w:p w14:paraId="6EC0FD25" w14:textId="77777777" w:rsidR="00F63070" w:rsidRPr="00C77830" w:rsidRDefault="00F63070" w:rsidP="00C77830">
      <w:pPr>
        <w:numPr>
          <w:ilvl w:val="1"/>
          <w:numId w:val="17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Era Biden:</w:t>
      </w:r>
      <w:r w:rsidRPr="00C77830">
        <w:rPr>
          <w:rFonts w:ascii="Cambria" w:hAnsi="Cambria"/>
        </w:rPr>
        <w:t xml:space="preserve"> Tregua arancelaria (2021), creación del Consejo de Comercio y Tecnología, y suspensión de aranceles cruzados por 5 años. EE. UU. sigue siendo el principal socio exportador de la UE.</w:t>
      </w:r>
    </w:p>
    <w:p w14:paraId="7CBC5E16" w14:textId="77777777" w:rsidR="00F63070" w:rsidRPr="00C77830" w:rsidRDefault="00F63070" w:rsidP="00C7783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77830">
        <w:rPr>
          <w:rFonts w:ascii="Cambria" w:hAnsi="Cambria"/>
          <w:b/>
          <w:bCs/>
          <w:color w:val="auto"/>
          <w:sz w:val="28"/>
          <w:szCs w:val="28"/>
        </w:rPr>
        <w:t>6. CONCLUSIÓN</w:t>
      </w:r>
    </w:p>
    <w:p w14:paraId="617276B0" w14:textId="77777777" w:rsidR="00F63070" w:rsidRPr="00C77830" w:rsidRDefault="00F63070" w:rsidP="00C77830">
      <w:pPr>
        <w:pStyle w:val="Ttulo2"/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  <w:color w:val="auto"/>
          <w:sz w:val="24"/>
          <w:szCs w:val="24"/>
        </w:rPr>
        <w:t>6.1. Resumen de Objetivos</w:t>
      </w:r>
    </w:p>
    <w:p w14:paraId="7F403226" w14:textId="77777777" w:rsidR="00F63070" w:rsidRPr="00C77830" w:rsidRDefault="00F63070" w:rsidP="00C77830">
      <w:pPr>
        <w:numPr>
          <w:ilvl w:val="1"/>
          <w:numId w:val="18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Promover la apertura de mercados y reglas justas para impulsar competitividad, crecimiento y empleo.</w:t>
      </w:r>
    </w:p>
    <w:p w14:paraId="5CD0D171" w14:textId="77777777" w:rsidR="00F63070" w:rsidRPr="00C77830" w:rsidRDefault="00F63070" w:rsidP="00C7783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77830">
        <w:rPr>
          <w:rFonts w:ascii="Cambria" w:hAnsi="Cambria"/>
          <w:b/>
          <w:bCs/>
          <w:color w:val="auto"/>
          <w:sz w:val="24"/>
          <w:szCs w:val="24"/>
        </w:rPr>
        <w:lastRenderedPageBreak/>
        <w:t>6.2. Estrategia a Medio Plazo</w:t>
      </w:r>
    </w:p>
    <w:p w14:paraId="51FFBCC8" w14:textId="77777777" w:rsidR="00F63070" w:rsidRPr="00C77830" w:rsidRDefault="00F63070" w:rsidP="00C77830">
      <w:pPr>
        <w:numPr>
          <w:ilvl w:val="1"/>
          <w:numId w:val="18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Apoyar la recuperación y transformación (verde y digital).</w:t>
      </w:r>
    </w:p>
    <w:p w14:paraId="5AFA319A" w14:textId="77777777" w:rsidR="00F63070" w:rsidRPr="00C77830" w:rsidRDefault="00F63070" w:rsidP="00C77830">
      <w:pPr>
        <w:numPr>
          <w:ilvl w:val="1"/>
          <w:numId w:val="18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Configurar normas mundiales sostenibles y justas.</w:t>
      </w:r>
    </w:p>
    <w:p w14:paraId="4B4DBED5" w14:textId="77777777" w:rsidR="00F63070" w:rsidRPr="00C77830" w:rsidRDefault="00F63070" w:rsidP="00C77830">
      <w:pPr>
        <w:numPr>
          <w:ilvl w:val="1"/>
          <w:numId w:val="18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Aumentar la capacidad de la UE para defender sus intereses (autonomía estratégica).</w:t>
      </w:r>
    </w:p>
    <w:p w14:paraId="009EBBB6" w14:textId="77777777" w:rsidR="00F63070" w:rsidRPr="00C77830" w:rsidRDefault="00F63070" w:rsidP="00C77830">
      <w:pPr>
        <w:numPr>
          <w:ilvl w:val="0"/>
          <w:numId w:val="18"/>
        </w:numPr>
        <w:jc w:val="both"/>
        <w:rPr>
          <w:rFonts w:ascii="Cambria" w:hAnsi="Cambria"/>
        </w:rPr>
      </w:pPr>
      <w:r w:rsidRPr="00C77830">
        <w:rPr>
          <w:rFonts w:ascii="Cambria" w:hAnsi="Cambria"/>
          <w:b/>
          <w:bCs/>
        </w:rPr>
        <w:t>6.3. Acciones Prioritarias</w:t>
      </w:r>
    </w:p>
    <w:p w14:paraId="6493EFC9" w14:textId="77777777" w:rsidR="00F63070" w:rsidRPr="00C77830" w:rsidRDefault="00F63070" w:rsidP="00C77830">
      <w:pPr>
        <w:numPr>
          <w:ilvl w:val="1"/>
          <w:numId w:val="18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Reforma de la OMC.</w:t>
      </w:r>
    </w:p>
    <w:p w14:paraId="1A62D47B" w14:textId="77777777" w:rsidR="00F63070" w:rsidRPr="00C77830" w:rsidRDefault="00F63070" w:rsidP="00C77830">
      <w:pPr>
        <w:numPr>
          <w:ilvl w:val="1"/>
          <w:numId w:val="18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Transición ecológica y digital.</w:t>
      </w:r>
    </w:p>
    <w:p w14:paraId="5C7E252F" w14:textId="77777777" w:rsidR="00F63070" w:rsidRPr="00C77830" w:rsidRDefault="00F63070" w:rsidP="00C77830">
      <w:pPr>
        <w:numPr>
          <w:ilvl w:val="1"/>
          <w:numId w:val="18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Profundización de asociaciones (Vecindad, África).</w:t>
      </w:r>
    </w:p>
    <w:p w14:paraId="6E65663F" w14:textId="77777777" w:rsidR="00F63070" w:rsidRPr="00C77830" w:rsidRDefault="00F63070" w:rsidP="00C77830">
      <w:pPr>
        <w:numPr>
          <w:ilvl w:val="1"/>
          <w:numId w:val="18"/>
        </w:numPr>
        <w:jc w:val="both"/>
        <w:rPr>
          <w:rFonts w:ascii="Cambria" w:hAnsi="Cambria"/>
        </w:rPr>
      </w:pPr>
      <w:r w:rsidRPr="00C77830">
        <w:rPr>
          <w:rFonts w:ascii="Cambria" w:hAnsi="Cambria"/>
        </w:rPr>
        <w:t>Cumplimiento estricto de los acuerdos (</w:t>
      </w:r>
      <w:proofErr w:type="spellStart"/>
      <w:r w:rsidRPr="00C77830">
        <w:rPr>
          <w:rFonts w:ascii="Cambria" w:hAnsi="Cambria"/>
        </w:rPr>
        <w:t>implementation</w:t>
      </w:r>
      <w:proofErr w:type="spellEnd"/>
      <w:r w:rsidRPr="00C77830">
        <w:rPr>
          <w:rFonts w:ascii="Cambria" w:hAnsi="Cambria"/>
        </w:rPr>
        <w:t>).</w:t>
      </w:r>
    </w:p>
    <w:p w14:paraId="563F9A84" w14:textId="77777777" w:rsidR="00A65383" w:rsidRPr="00C77830" w:rsidRDefault="00A65383" w:rsidP="00C77830">
      <w:pPr>
        <w:jc w:val="both"/>
        <w:rPr>
          <w:rFonts w:ascii="Cambria" w:hAnsi="Cambria"/>
        </w:rPr>
      </w:pPr>
    </w:p>
    <w:sectPr w:rsidR="00A65383" w:rsidRPr="00C7783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A8EEE" w14:textId="77777777" w:rsidR="00585CEE" w:rsidRDefault="00585CEE" w:rsidP="00585CEE">
      <w:pPr>
        <w:spacing w:after="0" w:line="240" w:lineRule="auto"/>
      </w:pPr>
      <w:r>
        <w:separator/>
      </w:r>
    </w:p>
  </w:endnote>
  <w:endnote w:type="continuationSeparator" w:id="0">
    <w:p w14:paraId="26F901E4" w14:textId="77777777" w:rsidR="00585CEE" w:rsidRDefault="00585CEE" w:rsidP="00585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496F2" w14:textId="77777777" w:rsidR="00585CEE" w:rsidRDefault="00585CEE" w:rsidP="00585CEE">
      <w:pPr>
        <w:spacing w:after="0" w:line="240" w:lineRule="auto"/>
      </w:pPr>
      <w:r>
        <w:separator/>
      </w:r>
    </w:p>
  </w:footnote>
  <w:footnote w:type="continuationSeparator" w:id="0">
    <w:p w14:paraId="4D0E8717" w14:textId="77777777" w:rsidR="00585CEE" w:rsidRDefault="00585CEE" w:rsidP="00585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09461" w14:textId="4B1DE280" w:rsidR="00585CEE" w:rsidRPr="00585CEE" w:rsidRDefault="00585CEE" w:rsidP="00585CEE">
    <w:pPr>
      <w:pStyle w:val="Encabezado"/>
      <w:jc w:val="both"/>
      <w:rPr>
        <w:rFonts w:ascii="Palatino Linotype" w:hAnsi="Palatino Linotype"/>
        <w:i/>
        <w:iCs/>
      </w:rPr>
    </w:pPr>
    <w:r w:rsidRPr="00585CEE">
      <w:rPr>
        <w:rFonts w:ascii="Palatino Linotype" w:hAnsi="Palatino Linotype"/>
        <w:b/>
        <w:bCs/>
        <w:i/>
        <w:iCs/>
      </w:rPr>
      <w:t>TEMA 54 -</w:t>
    </w:r>
    <w:r w:rsidRPr="00585CEE">
      <w:rPr>
        <w:rFonts w:ascii="Palatino Linotype" w:hAnsi="Palatino Linotype"/>
        <w:i/>
        <w:iCs/>
      </w:rPr>
      <w:t xml:space="preserve"> La política comercial y de relaciones económicas exteriores de la Unión Europea (I): La política comercial común. Origen y desarrollo. Marco general actual. Los acuerdos de liberalización comercia</w:t>
    </w:r>
    <w:r>
      <w:rPr>
        <w:rFonts w:ascii="Palatino Linotype" w:hAnsi="Palatino Linotype"/>
        <w:i/>
        <w:iCs/>
      </w:rPr>
      <w:t>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318E"/>
    <w:multiLevelType w:val="multilevel"/>
    <w:tmpl w:val="B736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67FE1"/>
    <w:multiLevelType w:val="multilevel"/>
    <w:tmpl w:val="701C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E22E6"/>
    <w:multiLevelType w:val="multilevel"/>
    <w:tmpl w:val="1BCC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407F6"/>
    <w:multiLevelType w:val="multilevel"/>
    <w:tmpl w:val="0D00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B0E12"/>
    <w:multiLevelType w:val="multilevel"/>
    <w:tmpl w:val="1ADE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80A02"/>
    <w:multiLevelType w:val="multilevel"/>
    <w:tmpl w:val="4CD8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E2B63"/>
    <w:multiLevelType w:val="multilevel"/>
    <w:tmpl w:val="8066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350C5"/>
    <w:multiLevelType w:val="multilevel"/>
    <w:tmpl w:val="9978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F2352"/>
    <w:multiLevelType w:val="multilevel"/>
    <w:tmpl w:val="6162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2191D"/>
    <w:multiLevelType w:val="multilevel"/>
    <w:tmpl w:val="321E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73BC5"/>
    <w:multiLevelType w:val="hybridMultilevel"/>
    <w:tmpl w:val="7B6695EE"/>
    <w:lvl w:ilvl="0" w:tplc="54EC58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6CEAF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CA08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25A9C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A3E6F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48EC0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D6477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52C8F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5542E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D5904"/>
    <w:multiLevelType w:val="multilevel"/>
    <w:tmpl w:val="8038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962C7"/>
    <w:multiLevelType w:val="hybridMultilevel"/>
    <w:tmpl w:val="5AEA36FA"/>
    <w:lvl w:ilvl="0" w:tplc="6C4642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6C6B4B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4CB8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AC841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2C8EF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4DECC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8B8EC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B4AC6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03A32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B7EC2"/>
    <w:multiLevelType w:val="multilevel"/>
    <w:tmpl w:val="7DF2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45C64"/>
    <w:multiLevelType w:val="multilevel"/>
    <w:tmpl w:val="5E04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2716F"/>
    <w:multiLevelType w:val="multilevel"/>
    <w:tmpl w:val="0E74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E6A10"/>
    <w:multiLevelType w:val="multilevel"/>
    <w:tmpl w:val="7ABE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C762F"/>
    <w:multiLevelType w:val="multilevel"/>
    <w:tmpl w:val="52FE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470047">
    <w:abstractNumId w:val="14"/>
  </w:num>
  <w:num w:numId="2" w16cid:durableId="956913596">
    <w:abstractNumId w:val="1"/>
  </w:num>
  <w:num w:numId="3" w16cid:durableId="1161703537">
    <w:abstractNumId w:val="2"/>
  </w:num>
  <w:num w:numId="4" w16cid:durableId="1480459488">
    <w:abstractNumId w:val="4"/>
  </w:num>
  <w:num w:numId="5" w16cid:durableId="395737743">
    <w:abstractNumId w:val="9"/>
  </w:num>
  <w:num w:numId="6" w16cid:durableId="1482502591">
    <w:abstractNumId w:val="3"/>
  </w:num>
  <w:num w:numId="7" w16cid:durableId="1994328591">
    <w:abstractNumId w:val="11"/>
  </w:num>
  <w:num w:numId="8" w16cid:durableId="1205868811">
    <w:abstractNumId w:val="0"/>
  </w:num>
  <w:num w:numId="9" w16cid:durableId="722482901">
    <w:abstractNumId w:val="17"/>
  </w:num>
  <w:num w:numId="10" w16cid:durableId="590313650">
    <w:abstractNumId w:val="15"/>
  </w:num>
  <w:num w:numId="11" w16cid:durableId="133761849">
    <w:abstractNumId w:val="6"/>
  </w:num>
  <w:num w:numId="12" w16cid:durableId="1536305522">
    <w:abstractNumId w:val="10"/>
  </w:num>
  <w:num w:numId="13" w16cid:durableId="2097094485">
    <w:abstractNumId w:val="13"/>
  </w:num>
  <w:num w:numId="14" w16cid:durableId="1950314208">
    <w:abstractNumId w:val="12"/>
  </w:num>
  <w:num w:numId="15" w16cid:durableId="843129825">
    <w:abstractNumId w:val="16"/>
  </w:num>
  <w:num w:numId="16" w16cid:durableId="1557738162">
    <w:abstractNumId w:val="7"/>
  </w:num>
  <w:num w:numId="17" w16cid:durableId="1490516771">
    <w:abstractNumId w:val="5"/>
  </w:num>
  <w:num w:numId="18" w16cid:durableId="71029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EE"/>
    <w:rsid w:val="00106D8F"/>
    <w:rsid w:val="005803BC"/>
    <w:rsid w:val="00585CEE"/>
    <w:rsid w:val="007F2A79"/>
    <w:rsid w:val="00A65383"/>
    <w:rsid w:val="00A8675C"/>
    <w:rsid w:val="00B23FDE"/>
    <w:rsid w:val="00C12CFD"/>
    <w:rsid w:val="00C77830"/>
    <w:rsid w:val="00DC486B"/>
    <w:rsid w:val="00E122E3"/>
    <w:rsid w:val="00F63070"/>
    <w:rsid w:val="00FC134E"/>
    <w:rsid w:val="00FF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9F434"/>
  <w15:chartTrackingRefBased/>
  <w15:docId w15:val="{29D4DC14-89B1-4260-ABC7-CBB25E70E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5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5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5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5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5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5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5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5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5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85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85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5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5C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5C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5C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5C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5C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5C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5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5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5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5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5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5CEE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85C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5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5C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5CE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5C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5CEE"/>
  </w:style>
  <w:style w:type="paragraph" w:styleId="Piedepgina">
    <w:name w:val="footer"/>
    <w:basedOn w:val="Normal"/>
    <w:link w:val="PiedepginaCar"/>
    <w:uiPriority w:val="99"/>
    <w:unhideWhenUsed/>
    <w:rsid w:val="00585C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5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1065</Words>
  <Characters>6125</Characters>
  <Application>Microsoft Office Word</Application>
  <DocSecurity>0</DocSecurity>
  <Lines>165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5</cp:revision>
  <dcterms:created xsi:type="dcterms:W3CDTF">2025-12-12T12:59:00Z</dcterms:created>
  <dcterms:modified xsi:type="dcterms:W3CDTF">2026-01-14T09:14:00Z</dcterms:modified>
</cp:coreProperties>
</file>