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E813" w14:textId="77777777" w:rsidR="00926DBE" w:rsidRPr="00D26353" w:rsidRDefault="00926DBE" w:rsidP="00926DBE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26353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497A102C" w14:textId="77777777" w:rsidR="00926DBE" w:rsidRPr="00D26353" w:rsidRDefault="00926DBE" w:rsidP="00926DB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1.1. La Política Comercial Común</w:t>
      </w:r>
    </w:p>
    <w:p w14:paraId="6ACB37C8" w14:textId="77777777" w:rsidR="00926DBE" w:rsidRPr="00D26353" w:rsidRDefault="00926DBE" w:rsidP="00926DBE">
      <w:pPr>
        <w:numPr>
          <w:ilvl w:val="0"/>
          <w:numId w:val="20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Definición:</w:t>
      </w:r>
      <w:r w:rsidRPr="00D26353">
        <w:rPr>
          <w:rFonts w:ascii="Cambria" w:hAnsi="Cambria"/>
        </w:rPr>
        <w:t xml:space="preserve"> Pilar principal de las relaciones de la UE con el mundo.</w:t>
      </w:r>
    </w:p>
    <w:p w14:paraId="1127DEA8" w14:textId="77777777" w:rsidR="00926DBE" w:rsidRPr="00D26353" w:rsidRDefault="00926DBE" w:rsidP="00926DBE">
      <w:pPr>
        <w:numPr>
          <w:ilvl w:val="0"/>
          <w:numId w:val="20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Objetivos:</w:t>
      </w:r>
    </w:p>
    <w:p w14:paraId="41959531" w14:textId="77777777" w:rsidR="00926DBE" w:rsidRPr="00D26353" w:rsidRDefault="00926DBE" w:rsidP="00926DBE">
      <w:pPr>
        <w:numPr>
          <w:ilvl w:val="1"/>
          <w:numId w:val="20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Liberalizar el comercio mundial (supresión de restricciones y barreras arancelarias).</w:t>
      </w:r>
    </w:p>
    <w:p w14:paraId="2289618D" w14:textId="77777777" w:rsidR="00926DBE" w:rsidRPr="00D26353" w:rsidRDefault="00926DBE" w:rsidP="00926DBE">
      <w:pPr>
        <w:numPr>
          <w:ilvl w:val="1"/>
          <w:numId w:val="20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Promover normas comerciales multilaterales.</w:t>
      </w:r>
    </w:p>
    <w:p w14:paraId="0B703585" w14:textId="77777777" w:rsidR="00926DBE" w:rsidRPr="00D26353" w:rsidRDefault="00926DBE" w:rsidP="00926DBE">
      <w:pPr>
        <w:numPr>
          <w:ilvl w:val="1"/>
          <w:numId w:val="20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Integración en el desarrollo sostenible (medioambiente, salud, protección social, diversidad cultural).</w:t>
      </w:r>
    </w:p>
    <w:p w14:paraId="6AC1D3E1" w14:textId="77777777" w:rsidR="00926DBE" w:rsidRPr="00D26353" w:rsidRDefault="00926DBE" w:rsidP="00926DBE">
      <w:pPr>
        <w:numPr>
          <w:ilvl w:val="0"/>
          <w:numId w:val="20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Contexto:</w:t>
      </w:r>
    </w:p>
    <w:p w14:paraId="28EA5128" w14:textId="77777777" w:rsidR="00926DBE" w:rsidRPr="00D26353" w:rsidRDefault="00926DBE" w:rsidP="00926DBE">
      <w:pPr>
        <w:numPr>
          <w:ilvl w:val="1"/>
          <w:numId w:val="20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La UE es el mayor bloque comercial del mundo (quinta parte del comercio mundial).</w:t>
      </w:r>
    </w:p>
    <w:p w14:paraId="40382D05" w14:textId="77777777" w:rsidR="00926DBE" w:rsidRPr="00D26353" w:rsidRDefault="00926DBE" w:rsidP="00926DBE">
      <w:pPr>
        <w:numPr>
          <w:ilvl w:val="1"/>
          <w:numId w:val="20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Especialización reciente (postcrisis 2008) en bienes de marca de alto valor.</w:t>
      </w:r>
    </w:p>
    <w:p w14:paraId="4623E937" w14:textId="77777777" w:rsidR="00926DBE" w:rsidRPr="00D26353" w:rsidRDefault="00926DBE" w:rsidP="00926DB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1.2. Estrategias recientes y contexto global</w:t>
      </w:r>
    </w:p>
    <w:p w14:paraId="6AB6B8FF" w14:textId="77777777" w:rsidR="00926DBE" w:rsidRPr="00D26353" w:rsidRDefault="00926DBE" w:rsidP="00926DBE">
      <w:pPr>
        <w:numPr>
          <w:ilvl w:val="0"/>
          <w:numId w:val="2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Acuerdo Transpacífico:</w:t>
      </w:r>
    </w:p>
    <w:p w14:paraId="7EE3FC8E" w14:textId="77777777" w:rsidR="00926DBE" w:rsidRPr="00D26353" w:rsidRDefault="00926DBE" w:rsidP="00926DBE">
      <w:pPr>
        <w:numPr>
          <w:ilvl w:val="1"/>
          <w:numId w:val="21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Firmado en 2016 por 12 potencias.</w:t>
      </w:r>
    </w:p>
    <w:p w14:paraId="0B5CBF56" w14:textId="77777777" w:rsidR="00926DBE" w:rsidRPr="00D26353" w:rsidRDefault="00926DBE" w:rsidP="00926DBE">
      <w:pPr>
        <w:numPr>
          <w:ilvl w:val="1"/>
          <w:numId w:val="21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 xml:space="preserve">Salida de </w:t>
      </w:r>
      <w:proofErr w:type="gramStart"/>
      <w:r w:rsidRPr="00D26353">
        <w:rPr>
          <w:rFonts w:ascii="Cambria" w:hAnsi="Cambria"/>
        </w:rPr>
        <w:t>EE.UU.</w:t>
      </w:r>
      <w:proofErr w:type="gramEnd"/>
      <w:r w:rsidRPr="00D26353">
        <w:rPr>
          <w:rFonts w:ascii="Cambria" w:hAnsi="Cambria"/>
        </w:rPr>
        <w:t xml:space="preserve"> (2017) y reformulación como TPP-11 (en vigor diciembre 2018).</w:t>
      </w:r>
    </w:p>
    <w:p w14:paraId="00250184" w14:textId="77777777" w:rsidR="00926DBE" w:rsidRPr="00D26353" w:rsidRDefault="00926DBE" w:rsidP="00926DBE">
      <w:pPr>
        <w:numPr>
          <w:ilvl w:val="0"/>
          <w:numId w:val="2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RCEP (Asociación Económica Integral Regional):</w:t>
      </w:r>
    </w:p>
    <w:p w14:paraId="26B7CC11" w14:textId="77777777" w:rsidR="00926DBE" w:rsidRPr="00D26353" w:rsidRDefault="00926DBE" w:rsidP="00926DBE">
      <w:pPr>
        <w:numPr>
          <w:ilvl w:val="1"/>
          <w:numId w:val="21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Firmado en 2020 (ASEAN + 5 socios: Australia, China, Corea del Sur, Japón, N. Zelanda).</w:t>
      </w:r>
    </w:p>
    <w:p w14:paraId="741C7AF8" w14:textId="77777777" w:rsidR="00926DBE" w:rsidRPr="00D26353" w:rsidRDefault="00926DBE" w:rsidP="00926DBE">
      <w:pPr>
        <w:numPr>
          <w:ilvl w:val="1"/>
          <w:numId w:val="21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En vigor desde el 1 de enero de 2022.</w:t>
      </w:r>
    </w:p>
    <w:p w14:paraId="03A67FAC" w14:textId="77777777" w:rsidR="00926DBE" w:rsidRPr="00D26353" w:rsidRDefault="00926DBE" w:rsidP="00926DBE">
      <w:pPr>
        <w:numPr>
          <w:ilvl w:val="1"/>
          <w:numId w:val="21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Mayor tratado de libre comercio del mundo (30% PIB y población mundial). Primer tratado multilateral que incluye a China.</w:t>
      </w:r>
    </w:p>
    <w:p w14:paraId="257C9B77" w14:textId="77777777" w:rsidR="00926DBE" w:rsidRPr="00D26353" w:rsidRDefault="00926DBE" w:rsidP="00926DBE">
      <w:pPr>
        <w:numPr>
          <w:ilvl w:val="0"/>
          <w:numId w:val="2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Nueva Estrategia Comercial UE:</w:t>
      </w:r>
    </w:p>
    <w:p w14:paraId="3864DDA0" w14:textId="77777777" w:rsidR="00926DBE" w:rsidRPr="00D26353" w:rsidRDefault="00926DBE" w:rsidP="00926DBE">
      <w:pPr>
        <w:numPr>
          <w:ilvl w:val="1"/>
          <w:numId w:val="21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Título: "Una Política Comercial abierta, sostenible y activa".</w:t>
      </w:r>
    </w:p>
    <w:p w14:paraId="10972236" w14:textId="77777777" w:rsidR="00926DBE" w:rsidRPr="00D26353" w:rsidRDefault="00926DBE" w:rsidP="00926DBE">
      <w:pPr>
        <w:numPr>
          <w:ilvl w:val="1"/>
          <w:numId w:val="21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Objetivo: Fijar el rumbo hasta 2030, integrándose con el Pacto Verde y la Estrategia Digital.</w:t>
      </w:r>
    </w:p>
    <w:p w14:paraId="1108385A" w14:textId="77777777" w:rsidR="00926DBE" w:rsidRPr="00D26353" w:rsidRDefault="00926DBE" w:rsidP="00926DBE">
      <w:pPr>
        <w:numPr>
          <w:ilvl w:val="1"/>
          <w:numId w:val="21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Enfoque: Autonomía estratégica abierta, defensa del multilateralismo y sostenibilidad.</w:t>
      </w:r>
    </w:p>
    <w:p w14:paraId="03669A28" w14:textId="77777777" w:rsidR="00926DBE" w:rsidRPr="00D26353" w:rsidRDefault="00926DBE" w:rsidP="00926DBE">
      <w:pPr>
        <w:numPr>
          <w:ilvl w:val="1"/>
          <w:numId w:val="21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lastRenderedPageBreak/>
        <w:t>Impacto Guerra Ucrania (2022): Necesidad de revisar relaciones y potenciar industria básica (energía y materias primas).</w:t>
      </w:r>
    </w:p>
    <w:p w14:paraId="1234B29F" w14:textId="77777777" w:rsidR="00926DBE" w:rsidRPr="00D26353" w:rsidRDefault="00926DBE" w:rsidP="00926DBE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26353">
        <w:rPr>
          <w:rFonts w:ascii="Cambria" w:hAnsi="Cambria"/>
          <w:b/>
          <w:bCs/>
          <w:color w:val="auto"/>
          <w:sz w:val="28"/>
          <w:szCs w:val="28"/>
        </w:rPr>
        <w:t>2. Origen de la Política Comercial Común</w:t>
      </w:r>
    </w:p>
    <w:p w14:paraId="0AB5392F" w14:textId="77777777" w:rsidR="00926DBE" w:rsidRPr="00D26353" w:rsidRDefault="00926DBE" w:rsidP="00926DB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2.1. Antecedentes</w:t>
      </w:r>
    </w:p>
    <w:p w14:paraId="655F751F" w14:textId="77777777" w:rsidR="00926DBE" w:rsidRPr="00D26353" w:rsidRDefault="00926DBE" w:rsidP="00926DBE">
      <w:pPr>
        <w:numPr>
          <w:ilvl w:val="0"/>
          <w:numId w:val="22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GATT (1947):</w:t>
      </w:r>
      <w:r w:rsidRPr="00D26353">
        <w:rPr>
          <w:rFonts w:ascii="Cambria" w:hAnsi="Cambria"/>
        </w:rPr>
        <w:t xml:space="preserve"> Reducción de protección nacional mediante 8 Rondas de Negociación.</w:t>
      </w:r>
    </w:p>
    <w:p w14:paraId="1A1D172E" w14:textId="77777777" w:rsidR="00926DBE" w:rsidRPr="00D26353" w:rsidRDefault="00926DBE" w:rsidP="00926DBE">
      <w:pPr>
        <w:numPr>
          <w:ilvl w:val="0"/>
          <w:numId w:val="22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OMC (1995):</w:t>
      </w:r>
      <w:r w:rsidRPr="00D26353">
        <w:rPr>
          <w:rFonts w:ascii="Cambria" w:hAnsi="Cambria"/>
        </w:rPr>
        <w:t xml:space="preserve"> Asume el GATT e incorpora nuevos acuerdos. Ronda de Doha (2001) inconclusa.</w:t>
      </w:r>
    </w:p>
    <w:p w14:paraId="690F0F48" w14:textId="77777777" w:rsidR="00926DBE" w:rsidRPr="00D26353" w:rsidRDefault="00926DBE" w:rsidP="00926DBE">
      <w:pPr>
        <w:numPr>
          <w:ilvl w:val="0"/>
          <w:numId w:val="22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Integración Europea:</w:t>
      </w:r>
    </w:p>
    <w:p w14:paraId="01CA399E" w14:textId="77777777" w:rsidR="00926DBE" w:rsidRPr="00D26353" w:rsidRDefault="00926DBE" w:rsidP="00926DBE">
      <w:pPr>
        <w:numPr>
          <w:ilvl w:val="1"/>
          <w:numId w:val="22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Tratados de Roma (1957): PCC como política común.</w:t>
      </w:r>
    </w:p>
    <w:p w14:paraId="46110A8F" w14:textId="77777777" w:rsidR="00926DBE" w:rsidRPr="00D26353" w:rsidRDefault="00926DBE" w:rsidP="00926DBE">
      <w:pPr>
        <w:numPr>
          <w:ilvl w:val="1"/>
          <w:numId w:val="22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Unión Aduanera (1968).</w:t>
      </w:r>
    </w:p>
    <w:p w14:paraId="16CEF795" w14:textId="77777777" w:rsidR="00926DBE" w:rsidRPr="00D26353" w:rsidRDefault="00926DBE" w:rsidP="00926DBE">
      <w:pPr>
        <w:numPr>
          <w:ilvl w:val="1"/>
          <w:numId w:val="22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Mercado Único (1993).</w:t>
      </w:r>
    </w:p>
    <w:p w14:paraId="1CFCBB44" w14:textId="77777777" w:rsidR="00926DBE" w:rsidRPr="00D26353" w:rsidRDefault="00926DBE" w:rsidP="00926DB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2.2. Competencias y Tratado de Lisboa (2009)</w:t>
      </w:r>
    </w:p>
    <w:p w14:paraId="26A8D2A8" w14:textId="5BA976AD" w:rsidR="00926DBE" w:rsidRPr="00D26353" w:rsidRDefault="00926DBE" w:rsidP="00926DBE">
      <w:pPr>
        <w:numPr>
          <w:ilvl w:val="0"/>
          <w:numId w:val="23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Cesión de soberanía:</w:t>
      </w:r>
      <w:r w:rsidRPr="00D26353">
        <w:rPr>
          <w:rFonts w:ascii="Cambria" w:hAnsi="Cambria"/>
        </w:rPr>
        <w:t xml:space="preserve"> Los EEMM no negocian autónomamente; lo hace la Comisión en nombre de la UE.</w:t>
      </w:r>
    </w:p>
    <w:p w14:paraId="35A63E4A" w14:textId="77777777" w:rsidR="00926DBE" w:rsidRPr="00D26353" w:rsidRDefault="00926DBE" w:rsidP="00926DBE">
      <w:pPr>
        <w:numPr>
          <w:ilvl w:val="0"/>
          <w:numId w:val="23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Novedades del Tratado de Lisboa:</w:t>
      </w:r>
    </w:p>
    <w:p w14:paraId="45B06CC2" w14:textId="77777777" w:rsidR="00926DBE" w:rsidRPr="00D26353" w:rsidRDefault="00926DBE" w:rsidP="00926DBE">
      <w:pPr>
        <w:numPr>
          <w:ilvl w:val="1"/>
          <w:numId w:val="23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Competencias exclusivas ampliadas:</w:t>
      </w:r>
      <w:r w:rsidRPr="00D26353">
        <w:rPr>
          <w:rFonts w:ascii="Cambria" w:hAnsi="Cambria"/>
        </w:rPr>
        <w:t xml:space="preserve"> Incluye servicios, propiedad intelectual (aspectos comerciales) e IED</w:t>
      </w:r>
      <w:r>
        <w:rPr>
          <w:rFonts w:ascii="Cambria" w:hAnsi="Cambria"/>
        </w:rPr>
        <w:t>.</w:t>
      </w:r>
    </w:p>
    <w:p w14:paraId="1C491A15" w14:textId="77777777" w:rsidR="00926DBE" w:rsidRPr="00D26353" w:rsidRDefault="00926DBE" w:rsidP="00926DBE">
      <w:pPr>
        <w:numPr>
          <w:ilvl w:val="1"/>
          <w:numId w:val="23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Toma de decisiones:</w:t>
      </w:r>
      <w:r w:rsidRPr="00D26353">
        <w:rPr>
          <w:rFonts w:ascii="Cambria" w:hAnsi="Cambria"/>
        </w:rPr>
        <w:t xml:space="preserve"> Regla general de mayoría cualificada en el Consejo (unanimidad excepcional).</w:t>
      </w:r>
    </w:p>
    <w:p w14:paraId="3B7A55AC" w14:textId="77777777" w:rsidR="00926DBE" w:rsidRPr="00D26353" w:rsidRDefault="00926DBE" w:rsidP="00926DBE">
      <w:pPr>
        <w:numPr>
          <w:ilvl w:val="1"/>
          <w:numId w:val="23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 xml:space="preserve">Sustitución de </w:t>
      </w:r>
      <w:proofErr w:type="spellStart"/>
      <w:r w:rsidRPr="00D26353">
        <w:rPr>
          <w:rFonts w:ascii="Cambria" w:hAnsi="Cambria"/>
          <w:b/>
          <w:bCs/>
        </w:rPr>
        <w:t>APPRIs</w:t>
      </w:r>
      <w:proofErr w:type="spellEnd"/>
      <w:r w:rsidRPr="00D26353">
        <w:rPr>
          <w:rFonts w:ascii="Cambria" w:hAnsi="Cambria"/>
          <w:b/>
          <w:bCs/>
        </w:rPr>
        <w:t>:</w:t>
      </w:r>
      <w:r w:rsidRPr="00D26353">
        <w:rPr>
          <w:rFonts w:ascii="Cambria" w:hAnsi="Cambria"/>
        </w:rPr>
        <w:t xml:space="preserve"> Los acuerdos de protección de inversiones de los EEMM se sustituyen progresivamente por acuerdos de la UE.</w:t>
      </w:r>
    </w:p>
    <w:p w14:paraId="5F356A3E" w14:textId="77777777" w:rsidR="00926DBE" w:rsidRPr="00D26353" w:rsidRDefault="00926DBE" w:rsidP="00926DBE">
      <w:pPr>
        <w:numPr>
          <w:ilvl w:val="1"/>
          <w:numId w:val="23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Papel del Parlamento Europeo:</w:t>
      </w:r>
    </w:p>
    <w:p w14:paraId="1F39C6A9" w14:textId="77777777" w:rsidR="00926DBE" w:rsidRPr="00D26353" w:rsidRDefault="00926DBE" w:rsidP="00926DBE">
      <w:pPr>
        <w:numPr>
          <w:ilvl w:val="2"/>
          <w:numId w:val="23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Codecisión en legislación (marco de aplicación).</w:t>
      </w:r>
    </w:p>
    <w:p w14:paraId="0686F7B9" w14:textId="77777777" w:rsidR="00926DBE" w:rsidRPr="00D26353" w:rsidRDefault="00926DBE" w:rsidP="00926DBE">
      <w:pPr>
        <w:numPr>
          <w:ilvl w:val="2"/>
          <w:numId w:val="23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Debe ser informado durante negociaciones.</w:t>
      </w:r>
    </w:p>
    <w:p w14:paraId="02DA1BC6" w14:textId="77777777" w:rsidR="00926DBE" w:rsidRPr="00D26353" w:rsidRDefault="00926DBE" w:rsidP="00926DBE">
      <w:pPr>
        <w:numPr>
          <w:ilvl w:val="2"/>
          <w:numId w:val="23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Aprobación obligatoria del PE para concluir/celebrar acuerdos (poder de veto).</w:t>
      </w:r>
    </w:p>
    <w:p w14:paraId="04682AD0" w14:textId="77777777" w:rsidR="00926DBE" w:rsidRPr="00D26353" w:rsidRDefault="00926DBE" w:rsidP="00926DBE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26353">
        <w:rPr>
          <w:rFonts w:ascii="Cambria" w:hAnsi="Cambria"/>
          <w:b/>
          <w:bCs/>
          <w:color w:val="auto"/>
          <w:sz w:val="28"/>
          <w:szCs w:val="28"/>
        </w:rPr>
        <w:t>3. Régimen Jurídico Actual</w:t>
      </w:r>
    </w:p>
    <w:p w14:paraId="2B3F23AA" w14:textId="77777777" w:rsidR="00926DBE" w:rsidRPr="00D26353" w:rsidRDefault="00926DBE" w:rsidP="00926DBE">
      <w:pPr>
        <w:numPr>
          <w:ilvl w:val="0"/>
          <w:numId w:val="2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Base Legal:</w:t>
      </w:r>
      <w:r w:rsidRPr="00D26353">
        <w:rPr>
          <w:rFonts w:ascii="Cambria" w:hAnsi="Cambria"/>
        </w:rPr>
        <w:t xml:space="preserve"> Artículo 207 del TFUE (sustituye al Art. 133 TCE).</w:t>
      </w:r>
    </w:p>
    <w:p w14:paraId="304800C6" w14:textId="77777777" w:rsidR="00926DBE" w:rsidRPr="00D26353" w:rsidRDefault="00926DBE" w:rsidP="00926DBE">
      <w:pPr>
        <w:numPr>
          <w:ilvl w:val="0"/>
          <w:numId w:val="2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lastRenderedPageBreak/>
        <w:t>Contenido Art. 207:</w:t>
      </w:r>
      <w:r w:rsidRPr="00D26353">
        <w:rPr>
          <w:rFonts w:ascii="Cambria" w:hAnsi="Cambria"/>
        </w:rPr>
        <w:t xml:space="preserve"> Uniformidad en modificaciones arancelarias, acuerdos de mercancías y servicios, propiedad intelectual, IED, liberalización, política de exportación y defensa comercial (dumping/subvenciones).</w:t>
      </w:r>
    </w:p>
    <w:p w14:paraId="55527638" w14:textId="77777777" w:rsidR="00926DBE" w:rsidRPr="00D26353" w:rsidRDefault="00926DBE" w:rsidP="00926DBE">
      <w:pPr>
        <w:numPr>
          <w:ilvl w:val="0"/>
          <w:numId w:val="2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Toma de decisiones:</w:t>
      </w:r>
    </w:p>
    <w:p w14:paraId="578E3312" w14:textId="77777777" w:rsidR="00926DBE" w:rsidRPr="00D26353" w:rsidRDefault="00926DBE" w:rsidP="00926DBE">
      <w:pPr>
        <w:numPr>
          <w:ilvl w:val="1"/>
          <w:numId w:val="2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Comisión Europea:</w:t>
      </w:r>
      <w:r w:rsidRPr="00D26353">
        <w:rPr>
          <w:rFonts w:ascii="Cambria" w:hAnsi="Cambria"/>
        </w:rPr>
        <w:t xml:space="preserve"> Poder de iniciativa, gestión y negociación.</w:t>
      </w:r>
    </w:p>
    <w:p w14:paraId="054A3147" w14:textId="77777777" w:rsidR="00926DBE" w:rsidRPr="00D26353" w:rsidRDefault="00926DBE" w:rsidP="00926DBE">
      <w:pPr>
        <w:numPr>
          <w:ilvl w:val="1"/>
          <w:numId w:val="2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Consejo de la UE:</w:t>
      </w:r>
      <w:r w:rsidRPr="00D26353">
        <w:rPr>
          <w:rFonts w:ascii="Cambria" w:hAnsi="Cambria"/>
        </w:rPr>
        <w:t xml:space="preserve"> Fija la posición comunitaria a través del Comité de Política Comercial.</w:t>
      </w:r>
    </w:p>
    <w:p w14:paraId="0A512E50" w14:textId="77777777" w:rsidR="00926DBE" w:rsidRPr="00D26353" w:rsidRDefault="00926DBE" w:rsidP="00926DBE">
      <w:pPr>
        <w:numPr>
          <w:ilvl w:val="0"/>
          <w:numId w:val="2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Comité de Política Comercial:</w:t>
      </w:r>
    </w:p>
    <w:p w14:paraId="676A6B68" w14:textId="77777777" w:rsidR="00926DBE" w:rsidRPr="00D26353" w:rsidRDefault="00926DBE" w:rsidP="00926DBE">
      <w:pPr>
        <w:numPr>
          <w:ilvl w:val="1"/>
          <w:numId w:val="2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Titulares:</w:t>
      </w:r>
      <w:r w:rsidRPr="00D26353">
        <w:rPr>
          <w:rFonts w:ascii="Cambria" w:hAnsi="Cambria"/>
        </w:rPr>
        <w:t xml:space="preserve"> </w:t>
      </w:r>
      <w:proofErr w:type="gramStart"/>
      <w:r w:rsidRPr="00D26353">
        <w:rPr>
          <w:rFonts w:ascii="Cambria" w:hAnsi="Cambria"/>
        </w:rPr>
        <w:t>Directores Generales</w:t>
      </w:r>
      <w:proofErr w:type="gramEnd"/>
      <w:r w:rsidRPr="00D26353">
        <w:rPr>
          <w:rFonts w:ascii="Cambria" w:hAnsi="Cambria"/>
        </w:rPr>
        <w:t xml:space="preserve"> (se reúnen mensualmente). Representante ES: D.G. de Política Comercial.</w:t>
      </w:r>
    </w:p>
    <w:p w14:paraId="78A76565" w14:textId="77777777" w:rsidR="00926DBE" w:rsidRPr="00D26353" w:rsidRDefault="00926DBE" w:rsidP="00926DBE">
      <w:pPr>
        <w:numPr>
          <w:ilvl w:val="1"/>
          <w:numId w:val="2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Suplentes:</w:t>
      </w:r>
      <w:r w:rsidRPr="00D26353">
        <w:rPr>
          <w:rFonts w:ascii="Cambria" w:hAnsi="Cambria"/>
        </w:rPr>
        <w:t xml:space="preserve"> </w:t>
      </w:r>
      <w:proofErr w:type="gramStart"/>
      <w:r w:rsidRPr="00D26353">
        <w:rPr>
          <w:rFonts w:ascii="Cambria" w:hAnsi="Cambria"/>
        </w:rPr>
        <w:t>Consejeros</w:t>
      </w:r>
      <w:proofErr w:type="gramEnd"/>
      <w:r w:rsidRPr="00D26353">
        <w:rPr>
          <w:rFonts w:ascii="Cambria" w:hAnsi="Cambria"/>
        </w:rPr>
        <w:t xml:space="preserve"> Comerciales (semanalmente). Representante ES: </w:t>
      </w:r>
      <w:proofErr w:type="gramStart"/>
      <w:r w:rsidRPr="00D26353">
        <w:rPr>
          <w:rFonts w:ascii="Cambria" w:hAnsi="Cambria"/>
        </w:rPr>
        <w:t>Consejero</w:t>
      </w:r>
      <w:proofErr w:type="gramEnd"/>
      <w:r w:rsidRPr="00D26353">
        <w:rPr>
          <w:rFonts w:ascii="Cambria" w:hAnsi="Cambria"/>
        </w:rPr>
        <w:t xml:space="preserve"> Comercial </w:t>
      </w:r>
      <w:proofErr w:type="gramStart"/>
      <w:r w:rsidRPr="00D26353">
        <w:rPr>
          <w:rFonts w:ascii="Cambria" w:hAnsi="Cambria"/>
        </w:rPr>
        <w:t>Jefe</w:t>
      </w:r>
      <w:proofErr w:type="gramEnd"/>
      <w:r w:rsidRPr="00D26353">
        <w:rPr>
          <w:rFonts w:ascii="Cambria" w:hAnsi="Cambria"/>
        </w:rPr>
        <w:t xml:space="preserve"> REPER.</w:t>
      </w:r>
    </w:p>
    <w:p w14:paraId="48E9D41E" w14:textId="77777777" w:rsidR="00926DBE" w:rsidRPr="00D26353" w:rsidRDefault="00926DBE" w:rsidP="00926DBE">
      <w:pPr>
        <w:numPr>
          <w:ilvl w:val="1"/>
          <w:numId w:val="24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Grupos expertos: Servicios, Acero, Textiles, etc.</w:t>
      </w:r>
    </w:p>
    <w:p w14:paraId="4D7B69A0" w14:textId="77777777" w:rsidR="00926DBE" w:rsidRPr="00D26353" w:rsidRDefault="00926DBE" w:rsidP="00926DBE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26353">
        <w:rPr>
          <w:rFonts w:ascii="Cambria" w:hAnsi="Cambria"/>
          <w:b/>
          <w:bCs/>
          <w:color w:val="auto"/>
          <w:sz w:val="28"/>
          <w:szCs w:val="28"/>
        </w:rPr>
        <w:t>4. Funcionamiento de la Política Comercial</w:t>
      </w:r>
    </w:p>
    <w:p w14:paraId="128FFA17" w14:textId="77777777" w:rsidR="00926DBE" w:rsidRPr="00D26353" w:rsidRDefault="00926DBE" w:rsidP="00926DBE">
      <w:pPr>
        <w:jc w:val="both"/>
        <w:rPr>
          <w:rFonts w:ascii="Cambria" w:hAnsi="Cambria"/>
        </w:rPr>
      </w:pPr>
      <w:r w:rsidRPr="00D26353">
        <w:rPr>
          <w:rFonts w:ascii="Cambria" w:hAnsi="Cambria"/>
        </w:rPr>
        <w:t>Actúa en tres niveles para abrir mercados y asegurar igualdad de condiciones:</w:t>
      </w:r>
    </w:p>
    <w:p w14:paraId="387A0B77" w14:textId="77777777" w:rsidR="00926DBE" w:rsidRPr="00D26353" w:rsidRDefault="00926DBE" w:rsidP="00926DBE">
      <w:pPr>
        <w:numPr>
          <w:ilvl w:val="0"/>
          <w:numId w:val="25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Nivel Multilateral:</w:t>
      </w:r>
      <w:r w:rsidRPr="00D26353">
        <w:rPr>
          <w:rFonts w:ascii="Cambria" w:hAnsi="Cambria"/>
        </w:rPr>
        <w:t xml:space="preserve"> OMC (Prioridad: conclusión Ronda Doha).</w:t>
      </w:r>
    </w:p>
    <w:p w14:paraId="3D16962B" w14:textId="77777777" w:rsidR="00926DBE" w:rsidRPr="00D26353" w:rsidRDefault="00926DBE" w:rsidP="00926DBE">
      <w:pPr>
        <w:numPr>
          <w:ilvl w:val="0"/>
          <w:numId w:val="25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Nivel Bilateral:</w:t>
      </w:r>
    </w:p>
    <w:p w14:paraId="268BC378" w14:textId="00716D63" w:rsidR="00926DBE" w:rsidRPr="00D26353" w:rsidRDefault="00926DBE" w:rsidP="00926DBE">
      <w:pPr>
        <w:numPr>
          <w:ilvl w:val="1"/>
          <w:numId w:val="25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Acuerdos de Libre Comerci</w:t>
      </w:r>
      <w:r>
        <w:rPr>
          <w:rFonts w:ascii="Cambria" w:hAnsi="Cambria"/>
        </w:rPr>
        <w:t>o</w:t>
      </w:r>
    </w:p>
    <w:p w14:paraId="5AD68FE2" w14:textId="77777777" w:rsidR="00926DBE" w:rsidRPr="00D26353" w:rsidRDefault="00926DBE" w:rsidP="00926DBE">
      <w:pPr>
        <w:numPr>
          <w:ilvl w:val="1"/>
          <w:numId w:val="25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Acuerdos de Asociación o Cooperación con socios estratégicos.</w:t>
      </w:r>
    </w:p>
    <w:p w14:paraId="745AC144" w14:textId="77777777" w:rsidR="00926DBE" w:rsidRPr="00D26353" w:rsidRDefault="00926DBE" w:rsidP="00926DBE">
      <w:pPr>
        <w:numPr>
          <w:ilvl w:val="0"/>
          <w:numId w:val="25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Nivel Unilateral:</w:t>
      </w:r>
    </w:p>
    <w:p w14:paraId="58B54AAF" w14:textId="77777777" w:rsidR="00926DBE" w:rsidRPr="00D26353" w:rsidRDefault="00926DBE" w:rsidP="00926DBE">
      <w:pPr>
        <w:numPr>
          <w:ilvl w:val="1"/>
          <w:numId w:val="25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 xml:space="preserve">Instrumentos de Defensa Comercial (antidumping, </w:t>
      </w:r>
      <w:proofErr w:type="spellStart"/>
      <w:r w:rsidRPr="00D26353">
        <w:rPr>
          <w:rFonts w:ascii="Cambria" w:hAnsi="Cambria"/>
        </w:rPr>
        <w:t>antisubvenciones</w:t>
      </w:r>
      <w:proofErr w:type="spellEnd"/>
      <w:r w:rsidRPr="00D26353">
        <w:rPr>
          <w:rFonts w:ascii="Cambria" w:hAnsi="Cambria"/>
        </w:rPr>
        <w:t>).</w:t>
      </w:r>
    </w:p>
    <w:p w14:paraId="3DFEF484" w14:textId="36C3561D" w:rsidR="00926DBE" w:rsidRPr="00D26353" w:rsidRDefault="00926DBE" w:rsidP="00926DBE">
      <w:pPr>
        <w:numPr>
          <w:ilvl w:val="1"/>
          <w:numId w:val="25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SPG</w:t>
      </w:r>
      <w:r>
        <w:rPr>
          <w:rFonts w:ascii="Cambria" w:hAnsi="Cambria"/>
        </w:rPr>
        <w:t xml:space="preserve"> </w:t>
      </w:r>
      <w:r w:rsidRPr="00D26353">
        <w:rPr>
          <w:rFonts w:ascii="Cambria" w:hAnsi="Cambria"/>
        </w:rPr>
        <w:t>para Países en Desarrollo.</w:t>
      </w:r>
    </w:p>
    <w:p w14:paraId="78F736BA" w14:textId="77777777" w:rsidR="00926DBE" w:rsidRPr="00D26353" w:rsidRDefault="00926DBE" w:rsidP="00926DBE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26353">
        <w:rPr>
          <w:rFonts w:ascii="Cambria" w:hAnsi="Cambria"/>
          <w:b/>
          <w:bCs/>
          <w:color w:val="auto"/>
          <w:sz w:val="28"/>
          <w:szCs w:val="28"/>
        </w:rPr>
        <w:t>5. Acuerdos de Liberalización Comercial</w:t>
      </w:r>
    </w:p>
    <w:p w14:paraId="3EFB886A" w14:textId="77777777" w:rsidR="00926DBE" w:rsidRPr="00D26353" w:rsidRDefault="00926DBE" w:rsidP="00926DB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5.1. Tipología</w:t>
      </w:r>
    </w:p>
    <w:p w14:paraId="52AD1450" w14:textId="77777777" w:rsidR="00926DBE" w:rsidRPr="00D26353" w:rsidRDefault="00926DBE" w:rsidP="00926DBE">
      <w:pPr>
        <w:numPr>
          <w:ilvl w:val="0"/>
          <w:numId w:val="26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No Preferenciales:</w:t>
      </w:r>
      <w:r w:rsidRPr="00D26353">
        <w:rPr>
          <w:rFonts w:ascii="Cambria" w:hAnsi="Cambria"/>
        </w:rPr>
        <w:t xml:space="preserve"> Aplican Cláusula de Nación Más Favorecida (NMF). Generalmente con socios estratégicos (</w:t>
      </w:r>
      <w:proofErr w:type="gramStart"/>
      <w:r w:rsidRPr="00D26353">
        <w:rPr>
          <w:rFonts w:ascii="Cambria" w:hAnsi="Cambria"/>
        </w:rPr>
        <w:t>EE.UU.</w:t>
      </w:r>
      <w:proofErr w:type="gramEnd"/>
      <w:r w:rsidRPr="00D26353">
        <w:rPr>
          <w:rFonts w:ascii="Cambria" w:hAnsi="Cambria"/>
        </w:rPr>
        <w:t>, China, Rusia) para cooperación regulatoria.</w:t>
      </w:r>
    </w:p>
    <w:p w14:paraId="54F117AE" w14:textId="77777777" w:rsidR="00926DBE" w:rsidRPr="00D26353" w:rsidRDefault="00926DBE" w:rsidP="00926DBE">
      <w:pPr>
        <w:numPr>
          <w:ilvl w:val="0"/>
          <w:numId w:val="26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Preferenciales:</w:t>
      </w:r>
      <w:r w:rsidRPr="00D26353">
        <w:rPr>
          <w:rFonts w:ascii="Cambria" w:hAnsi="Cambria"/>
        </w:rPr>
        <w:t xml:space="preserve"> Ventajas superiores a NMF. Requisitos OMC:</w:t>
      </w:r>
    </w:p>
    <w:p w14:paraId="40264727" w14:textId="77777777" w:rsidR="00926DBE" w:rsidRPr="00D26353" w:rsidRDefault="00926DBE" w:rsidP="00926DBE">
      <w:pPr>
        <w:numPr>
          <w:ilvl w:val="1"/>
          <w:numId w:val="26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Cubrir lo esencial del comercio (&gt;90%).</w:t>
      </w:r>
    </w:p>
    <w:p w14:paraId="17846DF3" w14:textId="77777777" w:rsidR="00926DBE" w:rsidRPr="00D26353" w:rsidRDefault="00926DBE" w:rsidP="00926DBE">
      <w:pPr>
        <w:numPr>
          <w:ilvl w:val="1"/>
          <w:numId w:val="26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lastRenderedPageBreak/>
        <w:t>Liberalización sustancial de servicios.</w:t>
      </w:r>
    </w:p>
    <w:p w14:paraId="4E7AC164" w14:textId="77777777" w:rsidR="00926DBE" w:rsidRPr="00D26353" w:rsidRDefault="00926DBE" w:rsidP="00926DBE">
      <w:pPr>
        <w:numPr>
          <w:ilvl w:val="1"/>
          <w:numId w:val="26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No elevar protección frente a terceros.</w:t>
      </w:r>
    </w:p>
    <w:p w14:paraId="565A096B" w14:textId="77777777" w:rsidR="00926DBE" w:rsidRPr="00D26353" w:rsidRDefault="00926DBE" w:rsidP="00926DB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5.2. Contenido habitual de acuerdos preferenciales</w:t>
      </w:r>
    </w:p>
    <w:p w14:paraId="572843E2" w14:textId="77777777" w:rsidR="00926DBE" w:rsidRPr="00D26353" w:rsidRDefault="00926DBE" w:rsidP="00926DBE">
      <w:pPr>
        <w:numPr>
          <w:ilvl w:val="0"/>
          <w:numId w:val="27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Mercancías:</w:t>
      </w:r>
      <w:r w:rsidRPr="00D26353">
        <w:rPr>
          <w:rFonts w:ascii="Cambria" w:hAnsi="Cambria"/>
        </w:rPr>
        <w:t xml:space="preserve"> Desarme arancelario.</w:t>
      </w:r>
    </w:p>
    <w:p w14:paraId="3EC1122A" w14:textId="6EA2E7E7" w:rsidR="00926DBE" w:rsidRPr="00D26353" w:rsidRDefault="00926DBE" w:rsidP="00926DBE">
      <w:pPr>
        <w:numPr>
          <w:ilvl w:val="0"/>
          <w:numId w:val="27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Servicios:</w:t>
      </w:r>
      <w:r w:rsidRPr="00D26353">
        <w:rPr>
          <w:rFonts w:ascii="Cambria" w:hAnsi="Cambria"/>
        </w:rPr>
        <w:t xml:space="preserve"> Zona de Libre Comercio progresiva (4 modos de suministro).</w:t>
      </w:r>
    </w:p>
    <w:p w14:paraId="0FE29FAA" w14:textId="77777777" w:rsidR="00926DBE" w:rsidRPr="00D26353" w:rsidRDefault="00926DBE" w:rsidP="00926DBE">
      <w:pPr>
        <w:numPr>
          <w:ilvl w:val="0"/>
          <w:numId w:val="27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Inversiones:</w:t>
      </w:r>
      <w:r w:rsidRPr="00D26353">
        <w:rPr>
          <w:rFonts w:ascii="Cambria" w:hAnsi="Cambria"/>
        </w:rPr>
        <w:t xml:space="preserve"> Mejora de establecimiento y libre transferencia de pagos.</w:t>
      </w:r>
    </w:p>
    <w:p w14:paraId="0413FE66" w14:textId="27896AC3" w:rsidR="00926DBE" w:rsidRPr="00D26353" w:rsidRDefault="00926DBE" w:rsidP="00926DBE">
      <w:pPr>
        <w:numPr>
          <w:ilvl w:val="0"/>
          <w:numId w:val="27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Propiedad Intelectual:</w:t>
      </w:r>
      <w:r w:rsidRPr="00D26353">
        <w:rPr>
          <w:rFonts w:ascii="Cambria" w:hAnsi="Cambria"/>
        </w:rPr>
        <w:t xml:space="preserve"> A menudo TRIPS+ (protección superior a OMC).</w:t>
      </w:r>
    </w:p>
    <w:p w14:paraId="0E134708" w14:textId="77777777" w:rsidR="00926DBE" w:rsidRPr="00D26353" w:rsidRDefault="00926DBE" w:rsidP="00926DBE">
      <w:pPr>
        <w:numPr>
          <w:ilvl w:val="0"/>
          <w:numId w:val="27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Contratación Pública:</w:t>
      </w:r>
      <w:r w:rsidRPr="00D26353">
        <w:rPr>
          <w:rFonts w:ascii="Cambria" w:hAnsi="Cambria"/>
        </w:rPr>
        <w:t xml:space="preserve"> Apertura de licitaciones.</w:t>
      </w:r>
    </w:p>
    <w:p w14:paraId="1498A552" w14:textId="77777777" w:rsidR="00926DBE" w:rsidRPr="00D26353" w:rsidRDefault="00926DBE" w:rsidP="00926DBE">
      <w:pPr>
        <w:numPr>
          <w:ilvl w:val="0"/>
          <w:numId w:val="27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Otros:</w:t>
      </w:r>
      <w:r w:rsidRPr="00D26353">
        <w:rPr>
          <w:rFonts w:ascii="Cambria" w:hAnsi="Cambria"/>
        </w:rPr>
        <w:t xml:space="preserve"> Facilitación de comercio, Normas de Origen, Solución de Diferencias (bilateral), Desarrollo Sostenible.</w:t>
      </w:r>
    </w:p>
    <w:p w14:paraId="240DEED8" w14:textId="1A1E5B66" w:rsidR="000D45D9" w:rsidRPr="00750147" w:rsidRDefault="000D45D9" w:rsidP="000D45D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50147">
        <w:rPr>
          <w:rFonts w:ascii="Cambria" w:hAnsi="Cambria"/>
          <w:b/>
          <w:bCs/>
          <w:color w:val="auto"/>
          <w:sz w:val="28"/>
          <w:szCs w:val="28"/>
        </w:rPr>
        <w:t>6. EL ESPACIO ECONÓMICO EUROPEO</w:t>
      </w:r>
    </w:p>
    <w:p w14:paraId="45908ED6" w14:textId="77777777" w:rsidR="000D45D9" w:rsidRPr="00750147" w:rsidRDefault="000D45D9" w:rsidP="000D45D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50147">
        <w:rPr>
          <w:rFonts w:ascii="Cambria" w:hAnsi="Cambria"/>
          <w:b/>
          <w:bCs/>
          <w:color w:val="auto"/>
          <w:sz w:val="24"/>
          <w:szCs w:val="24"/>
        </w:rPr>
        <w:t>6.1. Estructura y Contenido</w:t>
      </w:r>
    </w:p>
    <w:p w14:paraId="55C494B0" w14:textId="77777777" w:rsidR="000D45D9" w:rsidRPr="00750147" w:rsidRDefault="000D45D9" w:rsidP="000D45D9">
      <w:pPr>
        <w:numPr>
          <w:ilvl w:val="1"/>
          <w:numId w:val="14"/>
        </w:numPr>
        <w:jc w:val="both"/>
        <w:rPr>
          <w:rFonts w:ascii="Cambria" w:hAnsi="Cambria"/>
        </w:rPr>
      </w:pPr>
      <w:r w:rsidRPr="00750147">
        <w:rPr>
          <w:rFonts w:ascii="Cambria" w:hAnsi="Cambria"/>
        </w:rPr>
        <w:t>Acuerdo de 1992 (vigor 1994) que integra a la UE y a los países de la EFTA (Islandia, Noruega, Liechtenstein; Suiza se autoexcluyó).</w:t>
      </w:r>
    </w:p>
    <w:p w14:paraId="718901D2" w14:textId="77777777" w:rsidR="000D45D9" w:rsidRPr="00750147" w:rsidRDefault="000D45D9" w:rsidP="000D45D9">
      <w:pPr>
        <w:numPr>
          <w:ilvl w:val="1"/>
          <w:numId w:val="14"/>
        </w:numPr>
        <w:jc w:val="both"/>
        <w:rPr>
          <w:rFonts w:ascii="Cambria" w:hAnsi="Cambria"/>
        </w:rPr>
      </w:pPr>
      <w:r w:rsidRPr="00750147">
        <w:rPr>
          <w:rFonts w:ascii="Cambria" w:hAnsi="Cambria"/>
        </w:rPr>
        <w:t>Objetivo: Ampliar el Mercado Único aplicando las cuatro libertades (mercancías, servicios, personas, capitales) y normas de competencia.</w:t>
      </w:r>
    </w:p>
    <w:p w14:paraId="3017C5FC" w14:textId="77777777" w:rsidR="000D45D9" w:rsidRPr="00750147" w:rsidRDefault="000D45D9" w:rsidP="000D45D9">
      <w:pPr>
        <w:numPr>
          <w:ilvl w:val="1"/>
          <w:numId w:val="14"/>
        </w:numPr>
        <w:jc w:val="both"/>
        <w:rPr>
          <w:rFonts w:ascii="Cambria" w:hAnsi="Cambria"/>
        </w:rPr>
      </w:pPr>
      <w:r w:rsidRPr="00750147">
        <w:rPr>
          <w:rFonts w:ascii="Cambria" w:hAnsi="Cambria"/>
        </w:rPr>
        <w:t>Exclusiones: Política Agrícola Común y Política Pesquera (aunque hay liberalización parcial).</w:t>
      </w:r>
    </w:p>
    <w:p w14:paraId="1B130F38" w14:textId="77777777" w:rsidR="000D45D9" w:rsidRPr="00750147" w:rsidRDefault="000D45D9" w:rsidP="000D45D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50147">
        <w:rPr>
          <w:rFonts w:ascii="Cambria" w:hAnsi="Cambria"/>
          <w:b/>
          <w:bCs/>
          <w:color w:val="auto"/>
          <w:sz w:val="28"/>
          <w:szCs w:val="28"/>
        </w:rPr>
        <w:t>7. RELACIONES CON SUIZA</w:t>
      </w:r>
    </w:p>
    <w:p w14:paraId="453B9370" w14:textId="77777777" w:rsidR="000D45D9" w:rsidRPr="00750147" w:rsidRDefault="000D45D9" w:rsidP="000D45D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50147">
        <w:rPr>
          <w:rFonts w:ascii="Cambria" w:hAnsi="Cambria"/>
          <w:b/>
          <w:bCs/>
          <w:color w:val="auto"/>
          <w:sz w:val="24"/>
          <w:szCs w:val="24"/>
        </w:rPr>
        <w:t>7.1. Marco Bilateral</w:t>
      </w:r>
    </w:p>
    <w:p w14:paraId="1993FD17" w14:textId="4327A205" w:rsidR="000D45D9" w:rsidRPr="00750147" w:rsidRDefault="000D45D9" w:rsidP="000D45D9">
      <w:pPr>
        <w:numPr>
          <w:ilvl w:val="1"/>
          <w:numId w:val="15"/>
        </w:numPr>
        <w:jc w:val="both"/>
        <w:rPr>
          <w:rFonts w:ascii="Cambria" w:hAnsi="Cambria"/>
        </w:rPr>
      </w:pPr>
      <w:r w:rsidRPr="00750147">
        <w:rPr>
          <w:rFonts w:ascii="Cambria" w:hAnsi="Cambria"/>
        </w:rPr>
        <w:t>Tras el rechazo al EEE (1992), las relaciones se rigen por el TLC de 1972 y los paquetes de Acuerdos Bilaterales I (1999) y II (2004), vinculados por una cláusula guillotina.</w:t>
      </w:r>
    </w:p>
    <w:p w14:paraId="5D61272E" w14:textId="77777777" w:rsidR="000D45D9" w:rsidRPr="00750147" w:rsidRDefault="000D45D9" w:rsidP="000D45D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50147">
        <w:rPr>
          <w:rFonts w:ascii="Cambria" w:hAnsi="Cambria"/>
          <w:b/>
          <w:bCs/>
          <w:color w:val="auto"/>
          <w:sz w:val="24"/>
          <w:szCs w:val="24"/>
        </w:rPr>
        <w:t>7.2. Situación Reciente</w:t>
      </w:r>
    </w:p>
    <w:p w14:paraId="73290904" w14:textId="77777777" w:rsidR="000D45D9" w:rsidRPr="00750147" w:rsidRDefault="000D45D9" w:rsidP="000D45D9">
      <w:pPr>
        <w:numPr>
          <w:ilvl w:val="1"/>
          <w:numId w:val="15"/>
        </w:numPr>
        <w:jc w:val="both"/>
        <w:rPr>
          <w:rFonts w:ascii="Cambria" w:hAnsi="Cambria"/>
        </w:rPr>
      </w:pPr>
      <w:r w:rsidRPr="00750147">
        <w:rPr>
          <w:rFonts w:ascii="Cambria" w:hAnsi="Cambria"/>
        </w:rPr>
        <w:t>Ruptura de negociaciones del Acuerdo Marco Institucional en mayo de 2021.</w:t>
      </w:r>
    </w:p>
    <w:p w14:paraId="084BE195" w14:textId="77777777" w:rsidR="000D45D9" w:rsidRPr="00750147" w:rsidRDefault="000D45D9" w:rsidP="000D45D9">
      <w:pPr>
        <w:numPr>
          <w:ilvl w:val="1"/>
          <w:numId w:val="15"/>
        </w:numPr>
        <w:jc w:val="both"/>
        <w:rPr>
          <w:rFonts w:ascii="Cambria" w:hAnsi="Cambria"/>
        </w:rPr>
      </w:pPr>
      <w:r w:rsidRPr="00750147">
        <w:rPr>
          <w:rFonts w:ascii="Cambria" w:hAnsi="Cambria"/>
        </w:rPr>
        <w:t>Reinicio oficial de negociaciones en marzo de 2024 para modernizar la relación sobre la base de un nuevo entendimiento común.</w:t>
      </w:r>
    </w:p>
    <w:p w14:paraId="6219BFCF" w14:textId="77777777" w:rsidR="000D45D9" w:rsidRPr="00750147" w:rsidRDefault="000D45D9" w:rsidP="000D45D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50147">
        <w:rPr>
          <w:rFonts w:ascii="Cambria" w:hAnsi="Cambria"/>
          <w:b/>
          <w:bCs/>
          <w:color w:val="auto"/>
          <w:sz w:val="28"/>
          <w:szCs w:val="28"/>
        </w:rPr>
        <w:lastRenderedPageBreak/>
        <w:t>8. RELACIONES CON TURQUÍA</w:t>
      </w:r>
    </w:p>
    <w:p w14:paraId="10E04843" w14:textId="77777777" w:rsidR="000D45D9" w:rsidRPr="00750147" w:rsidRDefault="000D45D9" w:rsidP="000D45D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50147">
        <w:rPr>
          <w:rFonts w:ascii="Cambria" w:hAnsi="Cambria"/>
          <w:b/>
          <w:bCs/>
          <w:color w:val="auto"/>
          <w:sz w:val="24"/>
          <w:szCs w:val="24"/>
        </w:rPr>
        <w:t>8.1. Unión Aduanera y Adhesión</w:t>
      </w:r>
    </w:p>
    <w:p w14:paraId="0740E093" w14:textId="77777777" w:rsidR="000D45D9" w:rsidRPr="00750147" w:rsidRDefault="000D45D9" w:rsidP="000D45D9">
      <w:pPr>
        <w:numPr>
          <w:ilvl w:val="1"/>
          <w:numId w:val="16"/>
        </w:numPr>
        <w:jc w:val="both"/>
        <w:rPr>
          <w:rFonts w:ascii="Cambria" w:hAnsi="Cambria"/>
        </w:rPr>
      </w:pPr>
      <w:r w:rsidRPr="00750147">
        <w:rPr>
          <w:rFonts w:ascii="Cambria" w:hAnsi="Cambria"/>
        </w:rPr>
        <w:t>Unión Aduanera en vigor desde 1995 (bienes industriales y procesados agrícolas); requiere alineación legislativa con la UE.</w:t>
      </w:r>
    </w:p>
    <w:p w14:paraId="5EF41DA6" w14:textId="77777777" w:rsidR="000D45D9" w:rsidRPr="00750147" w:rsidRDefault="000D45D9" w:rsidP="000D45D9">
      <w:pPr>
        <w:numPr>
          <w:ilvl w:val="1"/>
          <w:numId w:val="16"/>
        </w:numPr>
        <w:jc w:val="both"/>
        <w:rPr>
          <w:rFonts w:ascii="Cambria" w:hAnsi="Cambria"/>
        </w:rPr>
      </w:pPr>
      <w:r w:rsidRPr="00750147">
        <w:rPr>
          <w:rFonts w:ascii="Cambria" w:hAnsi="Cambria"/>
        </w:rPr>
        <w:t>País candidato desde 1999. Negociaciones de adhesión iniciadas en 2005 pero congeladas por el deterioro del Estado de Derecho y tensiones geopolíticas.</w:t>
      </w:r>
    </w:p>
    <w:p w14:paraId="562256A0" w14:textId="77777777" w:rsidR="000D45D9" w:rsidRPr="00750147" w:rsidRDefault="000D45D9" w:rsidP="000D45D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50147">
        <w:rPr>
          <w:rFonts w:ascii="Cambria" w:hAnsi="Cambria"/>
          <w:b/>
          <w:bCs/>
          <w:color w:val="auto"/>
          <w:sz w:val="24"/>
          <w:szCs w:val="24"/>
        </w:rPr>
        <w:t>8.2. Cooperación Migratoria</w:t>
      </w:r>
    </w:p>
    <w:p w14:paraId="7E62127C" w14:textId="1AD86988" w:rsidR="000D45D9" w:rsidRPr="00750147" w:rsidRDefault="000D45D9" w:rsidP="000D45D9">
      <w:pPr>
        <w:numPr>
          <w:ilvl w:val="1"/>
          <w:numId w:val="16"/>
        </w:numPr>
        <w:jc w:val="both"/>
        <w:rPr>
          <w:rFonts w:ascii="Cambria" w:hAnsi="Cambria"/>
        </w:rPr>
      </w:pPr>
      <w:r w:rsidRPr="00750147">
        <w:rPr>
          <w:rFonts w:ascii="Cambria" w:hAnsi="Cambria"/>
        </w:rPr>
        <w:t xml:space="preserve">Plan de Acción Conjunto (2016) para controlar el flujo de refugiados sirios a cambio de ayuda financiera y liberalización de </w:t>
      </w:r>
      <w:r w:rsidR="004274E0" w:rsidRPr="00750147">
        <w:rPr>
          <w:rFonts w:ascii="Cambria" w:hAnsi="Cambria"/>
        </w:rPr>
        <w:t>visados.</w:t>
      </w:r>
    </w:p>
    <w:p w14:paraId="136C2180" w14:textId="77777777" w:rsidR="000D45D9" w:rsidRPr="00750147" w:rsidRDefault="000D45D9" w:rsidP="000D45D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50147">
        <w:rPr>
          <w:rFonts w:ascii="Cambria" w:hAnsi="Cambria"/>
          <w:b/>
          <w:bCs/>
          <w:color w:val="auto"/>
          <w:sz w:val="28"/>
          <w:szCs w:val="28"/>
        </w:rPr>
        <w:t>9. RELACIONES CON EL REINO UNIDO</w:t>
      </w:r>
    </w:p>
    <w:p w14:paraId="364DE81E" w14:textId="77777777" w:rsidR="000D45D9" w:rsidRPr="00750147" w:rsidRDefault="000D45D9" w:rsidP="000D45D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50147">
        <w:rPr>
          <w:rFonts w:ascii="Cambria" w:hAnsi="Cambria"/>
          <w:b/>
          <w:bCs/>
          <w:color w:val="auto"/>
          <w:sz w:val="24"/>
          <w:szCs w:val="24"/>
        </w:rPr>
        <w:t>9.1. Brexit y Acuerdo de 2021</w:t>
      </w:r>
    </w:p>
    <w:p w14:paraId="65CE9EB6" w14:textId="77777777" w:rsidR="000D45D9" w:rsidRPr="00750147" w:rsidRDefault="000D45D9" w:rsidP="000D45D9">
      <w:pPr>
        <w:numPr>
          <w:ilvl w:val="1"/>
          <w:numId w:val="17"/>
        </w:numPr>
        <w:jc w:val="both"/>
        <w:rPr>
          <w:rFonts w:ascii="Cambria" w:hAnsi="Cambria"/>
        </w:rPr>
      </w:pPr>
      <w:r w:rsidRPr="00750147">
        <w:rPr>
          <w:rFonts w:ascii="Cambria" w:hAnsi="Cambria"/>
        </w:rPr>
        <w:t>Salida efectiva el 31 de enero de 2020.</w:t>
      </w:r>
    </w:p>
    <w:p w14:paraId="42ABA7D3" w14:textId="77777777" w:rsidR="000D45D9" w:rsidRPr="00750147" w:rsidRDefault="000D45D9" w:rsidP="000D45D9">
      <w:pPr>
        <w:numPr>
          <w:ilvl w:val="1"/>
          <w:numId w:val="17"/>
        </w:numPr>
        <w:jc w:val="both"/>
        <w:rPr>
          <w:rFonts w:ascii="Cambria" w:hAnsi="Cambria"/>
        </w:rPr>
      </w:pPr>
      <w:r w:rsidRPr="00750147">
        <w:rPr>
          <w:rFonts w:ascii="Cambria" w:hAnsi="Cambria"/>
          <w:b/>
          <w:bCs/>
        </w:rPr>
        <w:t>Acuerdo de Comercio y Cooperación:</w:t>
      </w:r>
      <w:r w:rsidRPr="00750147">
        <w:rPr>
          <w:rFonts w:ascii="Cambria" w:hAnsi="Cambria"/>
        </w:rPr>
        <w:t xml:space="preserve"> Establece libre comercio (cero aranceles y cuotas) condicionado a normas de origen. Incluye cooperación en seguridad y gobernanza, pero no política exterior ni defensa.</w:t>
      </w:r>
    </w:p>
    <w:p w14:paraId="4E521F38" w14:textId="77777777" w:rsidR="000D45D9" w:rsidRPr="00750147" w:rsidRDefault="000D45D9" w:rsidP="000D45D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50147">
        <w:rPr>
          <w:rFonts w:ascii="Cambria" w:hAnsi="Cambria"/>
          <w:b/>
          <w:bCs/>
          <w:color w:val="auto"/>
          <w:sz w:val="24"/>
          <w:szCs w:val="24"/>
        </w:rPr>
        <w:t>9.2. Irlanda del Norte</w:t>
      </w:r>
    </w:p>
    <w:p w14:paraId="3F8491D1" w14:textId="77777777" w:rsidR="000D45D9" w:rsidRPr="00750147" w:rsidRDefault="000D45D9" w:rsidP="000D45D9">
      <w:pPr>
        <w:numPr>
          <w:ilvl w:val="1"/>
          <w:numId w:val="17"/>
        </w:numPr>
        <w:jc w:val="both"/>
        <w:rPr>
          <w:rFonts w:ascii="Cambria" w:hAnsi="Cambria"/>
        </w:rPr>
      </w:pPr>
      <w:r w:rsidRPr="00750147">
        <w:rPr>
          <w:rFonts w:ascii="Cambria" w:hAnsi="Cambria"/>
          <w:b/>
          <w:bCs/>
        </w:rPr>
        <w:t>Marco de Windsor (2023):</w:t>
      </w:r>
      <w:r w:rsidRPr="00750147">
        <w:rPr>
          <w:rFonts w:ascii="Cambria" w:hAnsi="Cambria"/>
        </w:rPr>
        <w:t xml:space="preserve"> Solución política para facilitar el movimiento de mercancías entre Gran Bretaña e Irlanda del Norte, protegiendo la integridad del Mercado Único.</w:t>
      </w:r>
    </w:p>
    <w:p w14:paraId="5BDADD09" w14:textId="77777777" w:rsidR="000D45D9" w:rsidRPr="00750147" w:rsidRDefault="000D45D9" w:rsidP="000D45D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50147">
        <w:rPr>
          <w:rFonts w:ascii="Cambria" w:hAnsi="Cambria"/>
          <w:b/>
          <w:bCs/>
          <w:color w:val="auto"/>
          <w:sz w:val="28"/>
          <w:szCs w:val="28"/>
        </w:rPr>
        <w:t>10. RELACIONES CON RUSIA Y UCRANIA</w:t>
      </w:r>
    </w:p>
    <w:p w14:paraId="765E8180" w14:textId="77777777" w:rsidR="000D45D9" w:rsidRPr="00750147" w:rsidRDefault="000D45D9" w:rsidP="000D45D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50147">
        <w:rPr>
          <w:rFonts w:ascii="Cambria" w:hAnsi="Cambria"/>
          <w:b/>
          <w:bCs/>
          <w:color w:val="auto"/>
          <w:sz w:val="24"/>
          <w:szCs w:val="24"/>
        </w:rPr>
        <w:t>10.1. Rusia</w:t>
      </w:r>
    </w:p>
    <w:p w14:paraId="229B0689" w14:textId="77777777" w:rsidR="000D45D9" w:rsidRPr="00750147" w:rsidRDefault="000D45D9" w:rsidP="000D45D9">
      <w:pPr>
        <w:numPr>
          <w:ilvl w:val="1"/>
          <w:numId w:val="18"/>
        </w:numPr>
        <w:jc w:val="both"/>
        <w:rPr>
          <w:rFonts w:ascii="Cambria" w:hAnsi="Cambria"/>
        </w:rPr>
      </w:pPr>
      <w:r w:rsidRPr="00750147">
        <w:rPr>
          <w:rFonts w:ascii="Cambria" w:hAnsi="Cambria"/>
        </w:rPr>
        <w:t>Ruptura de relaciones (basadas en el ACC de 1997) tras la invasión de Ucrania en 2022.</w:t>
      </w:r>
    </w:p>
    <w:p w14:paraId="30567323" w14:textId="77777777" w:rsidR="000D45D9" w:rsidRPr="00750147" w:rsidRDefault="000D45D9" w:rsidP="000D45D9">
      <w:pPr>
        <w:numPr>
          <w:ilvl w:val="1"/>
          <w:numId w:val="18"/>
        </w:numPr>
        <w:jc w:val="both"/>
        <w:rPr>
          <w:rFonts w:ascii="Cambria" w:hAnsi="Cambria"/>
        </w:rPr>
      </w:pPr>
      <w:r w:rsidRPr="00750147">
        <w:rPr>
          <w:rFonts w:ascii="Cambria" w:hAnsi="Cambria"/>
        </w:rPr>
        <w:t>Aplicación de 14 paquetes de sanciones económicas masivas (financieras, energéticas, transporte, tecnología) hasta junio de 2024.</w:t>
      </w:r>
    </w:p>
    <w:p w14:paraId="7F8BD67C" w14:textId="77777777" w:rsidR="000D45D9" w:rsidRPr="00750147" w:rsidRDefault="000D45D9" w:rsidP="000D45D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50147">
        <w:rPr>
          <w:rFonts w:ascii="Cambria" w:hAnsi="Cambria"/>
          <w:b/>
          <w:bCs/>
          <w:color w:val="auto"/>
          <w:sz w:val="24"/>
          <w:szCs w:val="24"/>
        </w:rPr>
        <w:t>10.2. Ucrania</w:t>
      </w:r>
    </w:p>
    <w:p w14:paraId="32B04BE8" w14:textId="77777777" w:rsidR="000D45D9" w:rsidRPr="00750147" w:rsidRDefault="000D45D9" w:rsidP="000D45D9">
      <w:pPr>
        <w:numPr>
          <w:ilvl w:val="1"/>
          <w:numId w:val="18"/>
        </w:numPr>
        <w:jc w:val="both"/>
        <w:rPr>
          <w:rFonts w:ascii="Cambria" w:hAnsi="Cambria"/>
        </w:rPr>
      </w:pPr>
      <w:r w:rsidRPr="00750147">
        <w:rPr>
          <w:rFonts w:ascii="Cambria" w:hAnsi="Cambria"/>
        </w:rPr>
        <w:t>Acuerdo de Asociación con Zona de Libre Comercio (DCFTA) plenamente operativo desde 2017.</w:t>
      </w:r>
    </w:p>
    <w:p w14:paraId="305CDCAC" w14:textId="77777777" w:rsidR="000D45D9" w:rsidRPr="00750147" w:rsidRDefault="000D45D9" w:rsidP="000D45D9">
      <w:pPr>
        <w:numPr>
          <w:ilvl w:val="1"/>
          <w:numId w:val="18"/>
        </w:numPr>
        <w:jc w:val="both"/>
        <w:rPr>
          <w:rFonts w:ascii="Cambria" w:hAnsi="Cambria"/>
        </w:rPr>
      </w:pPr>
      <w:r w:rsidRPr="00750147">
        <w:rPr>
          <w:rFonts w:ascii="Cambria" w:hAnsi="Cambria"/>
        </w:rPr>
        <w:t>País candidato a la UE desde junio de 2022.</w:t>
      </w:r>
    </w:p>
    <w:p w14:paraId="758A80B5" w14:textId="77777777" w:rsidR="000D45D9" w:rsidRPr="00750147" w:rsidRDefault="000D45D9" w:rsidP="000D45D9">
      <w:pPr>
        <w:numPr>
          <w:ilvl w:val="1"/>
          <w:numId w:val="18"/>
        </w:numPr>
        <w:jc w:val="both"/>
        <w:rPr>
          <w:rFonts w:ascii="Cambria" w:hAnsi="Cambria"/>
        </w:rPr>
      </w:pPr>
      <w:r w:rsidRPr="00750147">
        <w:rPr>
          <w:rFonts w:ascii="Cambria" w:hAnsi="Cambria"/>
        </w:rPr>
        <w:lastRenderedPageBreak/>
        <w:t>Apoyo mediante la suspensión temporal de aranceles y medidas de defensa comercial (medida autónoma prorrogada hasta 2025).</w:t>
      </w:r>
    </w:p>
    <w:p w14:paraId="5D7891DE" w14:textId="77777777" w:rsidR="000D45D9" w:rsidRPr="00750147" w:rsidRDefault="000D45D9" w:rsidP="000D45D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50147">
        <w:rPr>
          <w:rFonts w:ascii="Cambria" w:hAnsi="Cambria"/>
          <w:b/>
          <w:bCs/>
          <w:color w:val="auto"/>
          <w:sz w:val="28"/>
          <w:szCs w:val="28"/>
        </w:rPr>
        <w:t>11. RELACIONES CON LOS BALCANES</w:t>
      </w:r>
    </w:p>
    <w:p w14:paraId="7580E410" w14:textId="77777777" w:rsidR="000D45D9" w:rsidRPr="00750147" w:rsidRDefault="000D45D9" w:rsidP="000D45D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50147">
        <w:rPr>
          <w:rFonts w:ascii="Cambria" w:hAnsi="Cambria"/>
          <w:b/>
          <w:bCs/>
          <w:color w:val="auto"/>
          <w:sz w:val="24"/>
          <w:szCs w:val="24"/>
        </w:rPr>
        <w:t>11.1. Proceso de Estabilización y Asociación</w:t>
      </w:r>
    </w:p>
    <w:p w14:paraId="6CBA21A9" w14:textId="34DC9800" w:rsidR="000D45D9" w:rsidRPr="00750147" w:rsidRDefault="000D45D9" w:rsidP="000D45D9">
      <w:pPr>
        <w:numPr>
          <w:ilvl w:val="1"/>
          <w:numId w:val="19"/>
        </w:numPr>
        <w:jc w:val="both"/>
        <w:rPr>
          <w:rFonts w:ascii="Cambria" w:hAnsi="Cambria"/>
        </w:rPr>
      </w:pPr>
      <w:r w:rsidRPr="00750147">
        <w:rPr>
          <w:rFonts w:ascii="Cambria" w:hAnsi="Cambria"/>
        </w:rPr>
        <w:t>Marco para la integración progresiva y futura adhesión, apoyado por ayuda financiera y preferencias comerciales.</w:t>
      </w:r>
    </w:p>
    <w:p w14:paraId="3BAA474E" w14:textId="77777777" w:rsidR="000D45D9" w:rsidRPr="00750147" w:rsidRDefault="000D45D9" w:rsidP="000D45D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750147">
        <w:rPr>
          <w:rFonts w:ascii="Cambria" w:hAnsi="Cambria"/>
          <w:b/>
          <w:bCs/>
          <w:color w:val="auto"/>
          <w:sz w:val="24"/>
          <w:szCs w:val="24"/>
        </w:rPr>
        <w:t>11.2. Situación por Países</w:t>
      </w:r>
    </w:p>
    <w:p w14:paraId="0E7E5F5E" w14:textId="77777777" w:rsidR="000D45D9" w:rsidRPr="00750147" w:rsidRDefault="000D45D9" w:rsidP="000D45D9">
      <w:pPr>
        <w:numPr>
          <w:ilvl w:val="1"/>
          <w:numId w:val="19"/>
        </w:numPr>
        <w:jc w:val="both"/>
        <w:rPr>
          <w:rFonts w:ascii="Cambria" w:hAnsi="Cambria"/>
        </w:rPr>
      </w:pPr>
      <w:r w:rsidRPr="00750147">
        <w:rPr>
          <w:rFonts w:ascii="Cambria" w:hAnsi="Cambria"/>
          <w:b/>
          <w:bCs/>
        </w:rPr>
        <w:t>Croacia:</w:t>
      </w:r>
      <w:r w:rsidRPr="00750147">
        <w:rPr>
          <w:rFonts w:ascii="Cambria" w:hAnsi="Cambria"/>
        </w:rPr>
        <w:t xml:space="preserve"> Estado miembro desde 2013.</w:t>
      </w:r>
    </w:p>
    <w:p w14:paraId="211D5F6F" w14:textId="77777777" w:rsidR="000D45D9" w:rsidRPr="00750147" w:rsidRDefault="000D45D9" w:rsidP="000D45D9">
      <w:pPr>
        <w:numPr>
          <w:ilvl w:val="1"/>
          <w:numId w:val="19"/>
        </w:numPr>
        <w:jc w:val="both"/>
        <w:rPr>
          <w:rFonts w:ascii="Cambria" w:hAnsi="Cambria"/>
        </w:rPr>
      </w:pPr>
      <w:r w:rsidRPr="00750147">
        <w:rPr>
          <w:rFonts w:ascii="Cambria" w:hAnsi="Cambria"/>
          <w:b/>
          <w:bCs/>
        </w:rPr>
        <w:t>Montenegro y Serbia:</w:t>
      </w:r>
      <w:r w:rsidRPr="00750147">
        <w:rPr>
          <w:rFonts w:ascii="Cambria" w:hAnsi="Cambria"/>
        </w:rPr>
        <w:t xml:space="preserve"> En negociaciones de adhesión.</w:t>
      </w:r>
    </w:p>
    <w:p w14:paraId="7EE2E755" w14:textId="77777777" w:rsidR="000D45D9" w:rsidRPr="00750147" w:rsidRDefault="000D45D9" w:rsidP="000D45D9">
      <w:pPr>
        <w:numPr>
          <w:ilvl w:val="1"/>
          <w:numId w:val="19"/>
        </w:numPr>
        <w:jc w:val="both"/>
        <w:rPr>
          <w:rFonts w:ascii="Cambria" w:hAnsi="Cambria"/>
        </w:rPr>
      </w:pPr>
      <w:r w:rsidRPr="00750147">
        <w:rPr>
          <w:rFonts w:ascii="Cambria" w:hAnsi="Cambria"/>
          <w:b/>
          <w:bCs/>
        </w:rPr>
        <w:t>Albania y Macedonia del Norte:</w:t>
      </w:r>
      <w:r w:rsidRPr="00750147">
        <w:rPr>
          <w:rFonts w:ascii="Cambria" w:hAnsi="Cambria"/>
        </w:rPr>
        <w:t xml:space="preserve"> Negociaciones abiertas oficialmente en julio de 2022.</w:t>
      </w:r>
    </w:p>
    <w:p w14:paraId="61D1A90E" w14:textId="77777777" w:rsidR="000D45D9" w:rsidRPr="00750147" w:rsidRDefault="000D45D9" w:rsidP="000D45D9">
      <w:pPr>
        <w:numPr>
          <w:ilvl w:val="1"/>
          <w:numId w:val="19"/>
        </w:numPr>
        <w:jc w:val="both"/>
        <w:rPr>
          <w:rFonts w:ascii="Cambria" w:hAnsi="Cambria"/>
        </w:rPr>
      </w:pPr>
      <w:r w:rsidRPr="00750147">
        <w:rPr>
          <w:rFonts w:ascii="Cambria" w:hAnsi="Cambria"/>
          <w:b/>
          <w:bCs/>
        </w:rPr>
        <w:t>Bosnia y Herzegovina:</w:t>
      </w:r>
      <w:r w:rsidRPr="00750147">
        <w:rPr>
          <w:rFonts w:ascii="Cambria" w:hAnsi="Cambria"/>
        </w:rPr>
        <w:t xml:space="preserve"> Negociaciones abiertas en marzo de 2024.</w:t>
      </w:r>
    </w:p>
    <w:p w14:paraId="434F5D9F" w14:textId="77777777" w:rsidR="000D45D9" w:rsidRPr="00750147" w:rsidRDefault="000D45D9" w:rsidP="000D45D9">
      <w:pPr>
        <w:numPr>
          <w:ilvl w:val="1"/>
          <w:numId w:val="19"/>
        </w:numPr>
        <w:jc w:val="both"/>
        <w:rPr>
          <w:rFonts w:ascii="Cambria" w:hAnsi="Cambria"/>
        </w:rPr>
      </w:pPr>
      <w:r w:rsidRPr="00750147">
        <w:rPr>
          <w:rFonts w:ascii="Cambria" w:hAnsi="Cambria"/>
          <w:b/>
          <w:bCs/>
        </w:rPr>
        <w:t>Kosovo:</w:t>
      </w:r>
      <w:r w:rsidRPr="00750147">
        <w:rPr>
          <w:rFonts w:ascii="Cambria" w:hAnsi="Cambria"/>
        </w:rPr>
        <w:t xml:space="preserve"> Candidato potencial con Acuerdo de Estabilización en vigor y liberalización de visados desde enero de 2024.</w:t>
      </w:r>
    </w:p>
    <w:sectPr w:rsidR="000D45D9" w:rsidRPr="0075014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AC1B4" w14:textId="77777777" w:rsidR="003B5D8A" w:rsidRDefault="003B5D8A" w:rsidP="003B5D8A">
      <w:pPr>
        <w:spacing w:after="0" w:line="240" w:lineRule="auto"/>
      </w:pPr>
      <w:r>
        <w:separator/>
      </w:r>
    </w:p>
  </w:endnote>
  <w:endnote w:type="continuationSeparator" w:id="0">
    <w:p w14:paraId="53DBC004" w14:textId="77777777" w:rsidR="003B5D8A" w:rsidRDefault="003B5D8A" w:rsidP="003B5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0D258" w14:textId="77777777" w:rsidR="003B5D8A" w:rsidRDefault="003B5D8A" w:rsidP="003B5D8A">
      <w:pPr>
        <w:spacing w:after="0" w:line="240" w:lineRule="auto"/>
      </w:pPr>
      <w:r>
        <w:separator/>
      </w:r>
    </w:p>
  </w:footnote>
  <w:footnote w:type="continuationSeparator" w:id="0">
    <w:p w14:paraId="60EDD387" w14:textId="77777777" w:rsidR="003B5D8A" w:rsidRDefault="003B5D8A" w:rsidP="003B5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FBBC5" w14:textId="3714603A" w:rsidR="003B5D8A" w:rsidRPr="003B5D8A" w:rsidRDefault="003B5D8A" w:rsidP="003B5D8A">
    <w:pPr>
      <w:pStyle w:val="Encabezado"/>
      <w:jc w:val="both"/>
      <w:rPr>
        <w:rFonts w:ascii="Palatino Linotype" w:hAnsi="Palatino Linotype"/>
        <w:i/>
        <w:iCs/>
      </w:rPr>
    </w:pPr>
    <w:r w:rsidRPr="003B5D8A">
      <w:rPr>
        <w:rFonts w:ascii="Palatino Linotype" w:hAnsi="Palatino Linotype"/>
        <w:b/>
        <w:bCs/>
        <w:i/>
        <w:iCs/>
      </w:rPr>
      <w:t>TEMA 55 -</w:t>
    </w:r>
    <w:r w:rsidRPr="003B5D8A">
      <w:rPr>
        <w:rFonts w:ascii="Palatino Linotype" w:hAnsi="Palatino Linotype"/>
        <w:i/>
        <w:iCs/>
      </w:rPr>
      <w:t xml:space="preserve"> La política comercial y de relaciones económicas exteriores de la Unión Europea (II): El Espacio Económico Europeo. Reino Unido. Suiza. Turquía. Relaciones con Rusia y Ucrania. Relaciones con los Balcanes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CFF"/>
    <w:multiLevelType w:val="multilevel"/>
    <w:tmpl w:val="847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22DDB"/>
    <w:multiLevelType w:val="multilevel"/>
    <w:tmpl w:val="DAD0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C0DB3"/>
    <w:multiLevelType w:val="multilevel"/>
    <w:tmpl w:val="94FC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71E65"/>
    <w:multiLevelType w:val="multilevel"/>
    <w:tmpl w:val="7956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9337C"/>
    <w:multiLevelType w:val="multilevel"/>
    <w:tmpl w:val="9502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43917"/>
    <w:multiLevelType w:val="multilevel"/>
    <w:tmpl w:val="B86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43455"/>
    <w:multiLevelType w:val="multilevel"/>
    <w:tmpl w:val="A23E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04CB2"/>
    <w:multiLevelType w:val="multilevel"/>
    <w:tmpl w:val="1D4C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A478D"/>
    <w:multiLevelType w:val="multilevel"/>
    <w:tmpl w:val="3BC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C4780"/>
    <w:multiLevelType w:val="multilevel"/>
    <w:tmpl w:val="7A10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669CC"/>
    <w:multiLevelType w:val="multilevel"/>
    <w:tmpl w:val="301E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04A21"/>
    <w:multiLevelType w:val="multilevel"/>
    <w:tmpl w:val="3372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84D7E"/>
    <w:multiLevelType w:val="multilevel"/>
    <w:tmpl w:val="4664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FB471A"/>
    <w:multiLevelType w:val="multilevel"/>
    <w:tmpl w:val="EC58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36E21"/>
    <w:multiLevelType w:val="multilevel"/>
    <w:tmpl w:val="6B5E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55F2E"/>
    <w:multiLevelType w:val="multilevel"/>
    <w:tmpl w:val="5FF6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148DF"/>
    <w:multiLevelType w:val="multilevel"/>
    <w:tmpl w:val="A796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C5757"/>
    <w:multiLevelType w:val="multilevel"/>
    <w:tmpl w:val="E30C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C68C4"/>
    <w:multiLevelType w:val="multilevel"/>
    <w:tmpl w:val="F3AE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769A9"/>
    <w:multiLevelType w:val="multilevel"/>
    <w:tmpl w:val="AD18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36AF1"/>
    <w:multiLevelType w:val="multilevel"/>
    <w:tmpl w:val="CF5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F73BD"/>
    <w:multiLevelType w:val="multilevel"/>
    <w:tmpl w:val="C40A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42911"/>
    <w:multiLevelType w:val="multilevel"/>
    <w:tmpl w:val="5D94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E4A62"/>
    <w:multiLevelType w:val="multilevel"/>
    <w:tmpl w:val="9D4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B10CF4"/>
    <w:multiLevelType w:val="multilevel"/>
    <w:tmpl w:val="31B8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EA47F0"/>
    <w:multiLevelType w:val="multilevel"/>
    <w:tmpl w:val="12D6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0A1938"/>
    <w:multiLevelType w:val="multilevel"/>
    <w:tmpl w:val="56AE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818099">
    <w:abstractNumId w:val="17"/>
  </w:num>
  <w:num w:numId="2" w16cid:durableId="889077819">
    <w:abstractNumId w:val="21"/>
  </w:num>
  <w:num w:numId="3" w16cid:durableId="927614923">
    <w:abstractNumId w:val="20"/>
  </w:num>
  <w:num w:numId="4" w16cid:durableId="415134703">
    <w:abstractNumId w:val="0"/>
  </w:num>
  <w:num w:numId="5" w16cid:durableId="1877766352">
    <w:abstractNumId w:val="25"/>
  </w:num>
  <w:num w:numId="6" w16cid:durableId="393353381">
    <w:abstractNumId w:val="11"/>
  </w:num>
  <w:num w:numId="7" w16cid:durableId="658001703">
    <w:abstractNumId w:val="10"/>
  </w:num>
  <w:num w:numId="8" w16cid:durableId="116417805">
    <w:abstractNumId w:val="16"/>
  </w:num>
  <w:num w:numId="9" w16cid:durableId="655688993">
    <w:abstractNumId w:val="6"/>
  </w:num>
  <w:num w:numId="10" w16cid:durableId="830102441">
    <w:abstractNumId w:val="22"/>
  </w:num>
  <w:num w:numId="11" w16cid:durableId="1291281983">
    <w:abstractNumId w:val="8"/>
  </w:num>
  <w:num w:numId="12" w16cid:durableId="842354636">
    <w:abstractNumId w:val="15"/>
  </w:num>
  <w:num w:numId="13" w16cid:durableId="27070036">
    <w:abstractNumId w:val="4"/>
  </w:num>
  <w:num w:numId="14" w16cid:durableId="1701199610">
    <w:abstractNumId w:val="24"/>
  </w:num>
  <w:num w:numId="15" w16cid:durableId="1471707046">
    <w:abstractNumId w:val="9"/>
  </w:num>
  <w:num w:numId="16" w16cid:durableId="1528786600">
    <w:abstractNumId w:val="23"/>
  </w:num>
  <w:num w:numId="17" w16cid:durableId="249238789">
    <w:abstractNumId w:val="26"/>
  </w:num>
  <w:num w:numId="18" w16cid:durableId="316735678">
    <w:abstractNumId w:val="2"/>
  </w:num>
  <w:num w:numId="19" w16cid:durableId="1935818127">
    <w:abstractNumId w:val="7"/>
  </w:num>
  <w:num w:numId="20" w16cid:durableId="1576668537">
    <w:abstractNumId w:val="19"/>
  </w:num>
  <w:num w:numId="21" w16cid:durableId="715392955">
    <w:abstractNumId w:val="1"/>
  </w:num>
  <w:num w:numId="22" w16cid:durableId="1481144959">
    <w:abstractNumId w:val="18"/>
  </w:num>
  <w:num w:numId="23" w16cid:durableId="1717780011">
    <w:abstractNumId w:val="5"/>
  </w:num>
  <w:num w:numId="24" w16cid:durableId="1705597655">
    <w:abstractNumId w:val="13"/>
  </w:num>
  <w:num w:numId="25" w16cid:durableId="56049264">
    <w:abstractNumId w:val="12"/>
  </w:num>
  <w:num w:numId="26" w16cid:durableId="634601040">
    <w:abstractNumId w:val="3"/>
  </w:num>
  <w:num w:numId="27" w16cid:durableId="2802322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D8A"/>
    <w:rsid w:val="000D45D9"/>
    <w:rsid w:val="00106D8F"/>
    <w:rsid w:val="003B5D8A"/>
    <w:rsid w:val="004274E0"/>
    <w:rsid w:val="005803BC"/>
    <w:rsid w:val="005C0A8E"/>
    <w:rsid w:val="00750147"/>
    <w:rsid w:val="007C1608"/>
    <w:rsid w:val="008868C1"/>
    <w:rsid w:val="00926DBE"/>
    <w:rsid w:val="00A2672D"/>
    <w:rsid w:val="00A65383"/>
    <w:rsid w:val="00A8675C"/>
    <w:rsid w:val="00BF538F"/>
    <w:rsid w:val="00C1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8FCDA"/>
  <w15:chartTrackingRefBased/>
  <w15:docId w15:val="{E113D78F-C37C-4036-8BAF-8D09095BC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5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5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5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5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5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5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5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5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5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B5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B5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5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5D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5D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5D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5D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5D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5D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5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5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5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5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5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5D8A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3B5D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5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5D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5D8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B5D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5D8A"/>
  </w:style>
  <w:style w:type="paragraph" w:styleId="Piedepgina">
    <w:name w:val="footer"/>
    <w:basedOn w:val="Normal"/>
    <w:link w:val="PiedepginaCar"/>
    <w:uiPriority w:val="99"/>
    <w:unhideWhenUsed/>
    <w:rsid w:val="003B5D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5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1142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5</cp:revision>
  <dcterms:created xsi:type="dcterms:W3CDTF">2025-12-12T14:00:00Z</dcterms:created>
  <dcterms:modified xsi:type="dcterms:W3CDTF">2026-01-14T14:00:00Z</dcterms:modified>
</cp:coreProperties>
</file>