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86C6" w14:textId="77777777" w:rsidR="00F574A7" w:rsidRPr="0079070E" w:rsidRDefault="00F574A7" w:rsidP="00F574A7">
      <w:pPr>
        <w:rPr>
          <w:rFonts w:ascii="Cambria" w:hAnsi="Cambria"/>
          <w:b/>
          <w:bCs/>
        </w:rPr>
      </w:pPr>
      <w:r w:rsidRPr="0079070E">
        <w:rPr>
          <w:rFonts w:ascii="Cambria" w:hAnsi="Cambria"/>
          <w:b/>
          <w:bCs/>
        </w:rPr>
        <w:t>1. Introducción</w:t>
      </w:r>
    </w:p>
    <w:p w14:paraId="02BE0F48" w14:textId="77777777" w:rsidR="00F574A7" w:rsidRPr="0079070E" w:rsidRDefault="00F574A7" w:rsidP="00F574A7">
      <w:pPr>
        <w:rPr>
          <w:rFonts w:ascii="Cambria" w:hAnsi="Cambria"/>
          <w:b/>
          <w:bCs/>
        </w:rPr>
      </w:pPr>
      <w:r w:rsidRPr="0079070E">
        <w:rPr>
          <w:rFonts w:ascii="Cambria" w:hAnsi="Cambria"/>
          <w:b/>
          <w:bCs/>
        </w:rPr>
        <w:t>1.1. La Política Comercial Común</w:t>
      </w:r>
    </w:p>
    <w:p w14:paraId="505CFD38" w14:textId="77777777" w:rsidR="00F574A7" w:rsidRPr="0079070E" w:rsidRDefault="00F574A7" w:rsidP="00F574A7">
      <w:pPr>
        <w:numPr>
          <w:ilvl w:val="0"/>
          <w:numId w:val="26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Definición:</w:t>
      </w:r>
      <w:r w:rsidRPr="0079070E">
        <w:rPr>
          <w:rFonts w:ascii="Cambria" w:hAnsi="Cambria"/>
        </w:rPr>
        <w:t xml:space="preserve"> Pilar principal de las relaciones de la UE con el mundo.</w:t>
      </w:r>
    </w:p>
    <w:p w14:paraId="1A6B32CD" w14:textId="77777777" w:rsidR="00F574A7" w:rsidRPr="0079070E" w:rsidRDefault="00F574A7" w:rsidP="00F574A7">
      <w:pPr>
        <w:numPr>
          <w:ilvl w:val="0"/>
          <w:numId w:val="26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Objetivos:</w:t>
      </w:r>
    </w:p>
    <w:p w14:paraId="1D88AAB5" w14:textId="77777777" w:rsidR="00F574A7" w:rsidRPr="0079070E" w:rsidRDefault="00F574A7" w:rsidP="00F574A7">
      <w:pPr>
        <w:numPr>
          <w:ilvl w:val="1"/>
          <w:numId w:val="26"/>
        </w:numPr>
        <w:rPr>
          <w:rFonts w:ascii="Cambria" w:hAnsi="Cambria"/>
        </w:rPr>
      </w:pPr>
      <w:r w:rsidRPr="0079070E">
        <w:rPr>
          <w:rFonts w:ascii="Cambria" w:hAnsi="Cambria"/>
        </w:rPr>
        <w:t>Liberalizar el comercio mundial (supresión de restricciones y barreras arancelarias).</w:t>
      </w:r>
    </w:p>
    <w:p w14:paraId="1F099921" w14:textId="77777777" w:rsidR="00F574A7" w:rsidRPr="0079070E" w:rsidRDefault="00F574A7" w:rsidP="00F574A7">
      <w:pPr>
        <w:numPr>
          <w:ilvl w:val="1"/>
          <w:numId w:val="26"/>
        </w:numPr>
        <w:rPr>
          <w:rFonts w:ascii="Cambria" w:hAnsi="Cambria"/>
        </w:rPr>
      </w:pPr>
      <w:r w:rsidRPr="0079070E">
        <w:rPr>
          <w:rFonts w:ascii="Cambria" w:hAnsi="Cambria"/>
        </w:rPr>
        <w:t>Promover normas comerciales multilaterales.</w:t>
      </w:r>
    </w:p>
    <w:p w14:paraId="4E444361" w14:textId="77777777" w:rsidR="00F574A7" w:rsidRPr="0079070E" w:rsidRDefault="00F574A7" w:rsidP="00F574A7">
      <w:pPr>
        <w:numPr>
          <w:ilvl w:val="1"/>
          <w:numId w:val="26"/>
        </w:numPr>
        <w:rPr>
          <w:rFonts w:ascii="Cambria" w:hAnsi="Cambria"/>
        </w:rPr>
      </w:pPr>
      <w:r w:rsidRPr="0079070E">
        <w:rPr>
          <w:rFonts w:ascii="Cambria" w:hAnsi="Cambria"/>
        </w:rPr>
        <w:t>Integración en el desarrollo sostenible (medioambiente, salud, protección social, diversidad cultural).</w:t>
      </w:r>
    </w:p>
    <w:p w14:paraId="2BD9C984" w14:textId="77777777" w:rsidR="00F574A7" w:rsidRPr="0079070E" w:rsidRDefault="00F574A7" w:rsidP="00F574A7">
      <w:pPr>
        <w:numPr>
          <w:ilvl w:val="0"/>
          <w:numId w:val="26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Contexto:</w:t>
      </w:r>
    </w:p>
    <w:p w14:paraId="5D14884B" w14:textId="77777777" w:rsidR="00F574A7" w:rsidRPr="0079070E" w:rsidRDefault="00F574A7" w:rsidP="00F574A7">
      <w:pPr>
        <w:numPr>
          <w:ilvl w:val="1"/>
          <w:numId w:val="26"/>
        </w:numPr>
        <w:rPr>
          <w:rFonts w:ascii="Cambria" w:hAnsi="Cambria"/>
        </w:rPr>
      </w:pPr>
      <w:r w:rsidRPr="0079070E">
        <w:rPr>
          <w:rFonts w:ascii="Cambria" w:hAnsi="Cambria"/>
        </w:rPr>
        <w:t>La UE es el mayor bloque comercial del mundo (quinta parte del comercio mundial).</w:t>
      </w:r>
    </w:p>
    <w:p w14:paraId="77BDA00D" w14:textId="77777777" w:rsidR="00F574A7" w:rsidRPr="0079070E" w:rsidRDefault="00F574A7" w:rsidP="00F574A7">
      <w:pPr>
        <w:numPr>
          <w:ilvl w:val="1"/>
          <w:numId w:val="26"/>
        </w:numPr>
        <w:rPr>
          <w:rFonts w:ascii="Cambria" w:hAnsi="Cambria"/>
        </w:rPr>
      </w:pPr>
      <w:r w:rsidRPr="0079070E">
        <w:rPr>
          <w:rFonts w:ascii="Cambria" w:hAnsi="Cambria"/>
        </w:rPr>
        <w:t>Especialización reciente (postcrisis 2008) en bienes de marca de alto valor.</w:t>
      </w:r>
    </w:p>
    <w:p w14:paraId="40B207C3" w14:textId="77777777" w:rsidR="00F574A7" w:rsidRPr="0079070E" w:rsidRDefault="00F574A7" w:rsidP="00F574A7">
      <w:pPr>
        <w:rPr>
          <w:rFonts w:ascii="Cambria" w:hAnsi="Cambria"/>
          <w:b/>
          <w:bCs/>
        </w:rPr>
      </w:pPr>
      <w:r w:rsidRPr="0079070E">
        <w:rPr>
          <w:rFonts w:ascii="Cambria" w:hAnsi="Cambria"/>
          <w:b/>
          <w:bCs/>
        </w:rPr>
        <w:t>1.2. Estrategias recientes y contexto global</w:t>
      </w:r>
    </w:p>
    <w:p w14:paraId="08E09331" w14:textId="77777777" w:rsidR="00F574A7" w:rsidRPr="0079070E" w:rsidRDefault="00F574A7" w:rsidP="00F574A7">
      <w:pPr>
        <w:numPr>
          <w:ilvl w:val="0"/>
          <w:numId w:val="27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Acuerdo Transpacífico:</w:t>
      </w:r>
    </w:p>
    <w:p w14:paraId="2A7B7FFD" w14:textId="77777777" w:rsidR="00F574A7" w:rsidRPr="0079070E" w:rsidRDefault="00F574A7" w:rsidP="00F574A7">
      <w:pPr>
        <w:numPr>
          <w:ilvl w:val="1"/>
          <w:numId w:val="27"/>
        </w:numPr>
        <w:rPr>
          <w:rFonts w:ascii="Cambria" w:hAnsi="Cambria"/>
        </w:rPr>
      </w:pPr>
      <w:r w:rsidRPr="0079070E">
        <w:rPr>
          <w:rFonts w:ascii="Cambria" w:hAnsi="Cambria"/>
        </w:rPr>
        <w:t>Firmado en 2016 por 12 potencias.</w:t>
      </w:r>
    </w:p>
    <w:p w14:paraId="5EE9E7CC" w14:textId="77777777" w:rsidR="00F574A7" w:rsidRPr="0079070E" w:rsidRDefault="00F574A7" w:rsidP="00F574A7">
      <w:pPr>
        <w:numPr>
          <w:ilvl w:val="1"/>
          <w:numId w:val="27"/>
        </w:numPr>
        <w:rPr>
          <w:rFonts w:ascii="Cambria" w:hAnsi="Cambria"/>
        </w:rPr>
      </w:pPr>
      <w:r w:rsidRPr="0079070E">
        <w:rPr>
          <w:rFonts w:ascii="Cambria" w:hAnsi="Cambria"/>
        </w:rPr>
        <w:t xml:space="preserve">Salida de </w:t>
      </w:r>
      <w:proofErr w:type="gramStart"/>
      <w:r w:rsidRPr="0079070E">
        <w:rPr>
          <w:rFonts w:ascii="Cambria" w:hAnsi="Cambria"/>
        </w:rPr>
        <w:t>EE.UU.</w:t>
      </w:r>
      <w:proofErr w:type="gramEnd"/>
      <w:r w:rsidRPr="0079070E">
        <w:rPr>
          <w:rFonts w:ascii="Cambria" w:hAnsi="Cambria"/>
        </w:rPr>
        <w:t xml:space="preserve"> (2017) y reformulación como TPP-11 (en vigor diciembre 2018).</w:t>
      </w:r>
    </w:p>
    <w:p w14:paraId="4E6E639C" w14:textId="77777777" w:rsidR="00F574A7" w:rsidRPr="0079070E" w:rsidRDefault="00F574A7" w:rsidP="00F574A7">
      <w:pPr>
        <w:numPr>
          <w:ilvl w:val="0"/>
          <w:numId w:val="27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RCEP (Asociación Económica Integral Regional):</w:t>
      </w:r>
    </w:p>
    <w:p w14:paraId="7BF04417" w14:textId="77777777" w:rsidR="00F574A7" w:rsidRPr="0079070E" w:rsidRDefault="00F574A7" w:rsidP="00F574A7">
      <w:pPr>
        <w:numPr>
          <w:ilvl w:val="1"/>
          <w:numId w:val="27"/>
        </w:numPr>
        <w:rPr>
          <w:rFonts w:ascii="Cambria" w:hAnsi="Cambria"/>
        </w:rPr>
      </w:pPr>
      <w:r w:rsidRPr="0079070E">
        <w:rPr>
          <w:rFonts w:ascii="Cambria" w:hAnsi="Cambria"/>
        </w:rPr>
        <w:t>Firmado en 2020 (ASEAN + 5 socios: Australia, China, Corea del Sur, Japón, N. Zelanda).</w:t>
      </w:r>
    </w:p>
    <w:p w14:paraId="4B712030" w14:textId="77777777" w:rsidR="00F574A7" w:rsidRPr="0079070E" w:rsidRDefault="00F574A7" w:rsidP="00F574A7">
      <w:pPr>
        <w:numPr>
          <w:ilvl w:val="1"/>
          <w:numId w:val="27"/>
        </w:numPr>
        <w:rPr>
          <w:rFonts w:ascii="Cambria" w:hAnsi="Cambria"/>
        </w:rPr>
      </w:pPr>
      <w:r w:rsidRPr="0079070E">
        <w:rPr>
          <w:rFonts w:ascii="Cambria" w:hAnsi="Cambria"/>
        </w:rPr>
        <w:t>En vigor desde el 1 de enero de 2022.</w:t>
      </w:r>
    </w:p>
    <w:p w14:paraId="4DECB8C3" w14:textId="77777777" w:rsidR="00F574A7" w:rsidRPr="0079070E" w:rsidRDefault="00F574A7" w:rsidP="00F574A7">
      <w:pPr>
        <w:numPr>
          <w:ilvl w:val="1"/>
          <w:numId w:val="27"/>
        </w:numPr>
        <w:rPr>
          <w:rFonts w:ascii="Cambria" w:hAnsi="Cambria"/>
        </w:rPr>
      </w:pPr>
      <w:r w:rsidRPr="0079070E">
        <w:rPr>
          <w:rFonts w:ascii="Cambria" w:hAnsi="Cambria"/>
        </w:rPr>
        <w:t>Mayor tratado de libre comercio del mundo (30% PIB y población mundial). Primer tratado multilateral que incluye a China.</w:t>
      </w:r>
    </w:p>
    <w:p w14:paraId="0D78FD31" w14:textId="77777777" w:rsidR="00F574A7" w:rsidRPr="0079070E" w:rsidRDefault="00F574A7" w:rsidP="00F574A7">
      <w:pPr>
        <w:numPr>
          <w:ilvl w:val="0"/>
          <w:numId w:val="27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Nueva Estrategia Comercial UE:</w:t>
      </w:r>
    </w:p>
    <w:p w14:paraId="7595E6F0" w14:textId="77777777" w:rsidR="00F574A7" w:rsidRPr="0079070E" w:rsidRDefault="00F574A7" w:rsidP="00F574A7">
      <w:pPr>
        <w:numPr>
          <w:ilvl w:val="1"/>
          <w:numId w:val="27"/>
        </w:numPr>
        <w:rPr>
          <w:rFonts w:ascii="Cambria" w:hAnsi="Cambria"/>
        </w:rPr>
      </w:pPr>
      <w:r w:rsidRPr="0079070E">
        <w:rPr>
          <w:rFonts w:ascii="Cambria" w:hAnsi="Cambria"/>
        </w:rPr>
        <w:t>Título: "Una Política Comercial abierta, sostenible y activa".</w:t>
      </w:r>
    </w:p>
    <w:p w14:paraId="12C9707D" w14:textId="77777777" w:rsidR="00F574A7" w:rsidRPr="0079070E" w:rsidRDefault="00F574A7" w:rsidP="00F574A7">
      <w:pPr>
        <w:numPr>
          <w:ilvl w:val="1"/>
          <w:numId w:val="27"/>
        </w:numPr>
        <w:rPr>
          <w:rFonts w:ascii="Cambria" w:hAnsi="Cambria"/>
        </w:rPr>
      </w:pPr>
      <w:r w:rsidRPr="0079070E">
        <w:rPr>
          <w:rFonts w:ascii="Cambria" w:hAnsi="Cambria"/>
        </w:rPr>
        <w:t>Objetivo: Fijar el rumbo hasta 2030, integrándose con el Pacto Verde y la Estrategia Digital.</w:t>
      </w:r>
    </w:p>
    <w:p w14:paraId="54ED2315" w14:textId="77777777" w:rsidR="00F574A7" w:rsidRPr="0079070E" w:rsidRDefault="00F574A7" w:rsidP="00F574A7">
      <w:pPr>
        <w:numPr>
          <w:ilvl w:val="1"/>
          <w:numId w:val="27"/>
        </w:numPr>
        <w:rPr>
          <w:rFonts w:ascii="Cambria" w:hAnsi="Cambria"/>
        </w:rPr>
      </w:pPr>
      <w:r w:rsidRPr="0079070E">
        <w:rPr>
          <w:rFonts w:ascii="Cambria" w:hAnsi="Cambria"/>
        </w:rPr>
        <w:lastRenderedPageBreak/>
        <w:t>Enfoque: Autonomía estratégica abierta, defensa del multilateralismo y sostenibilidad.</w:t>
      </w:r>
    </w:p>
    <w:p w14:paraId="2867B4E5" w14:textId="77777777" w:rsidR="00F574A7" w:rsidRPr="0079070E" w:rsidRDefault="00F574A7" w:rsidP="00F574A7">
      <w:pPr>
        <w:numPr>
          <w:ilvl w:val="1"/>
          <w:numId w:val="27"/>
        </w:numPr>
        <w:rPr>
          <w:rFonts w:ascii="Cambria" w:hAnsi="Cambria"/>
        </w:rPr>
      </w:pPr>
      <w:r w:rsidRPr="0079070E">
        <w:rPr>
          <w:rFonts w:ascii="Cambria" w:hAnsi="Cambria"/>
        </w:rPr>
        <w:t>Impacto Guerra Ucrania (2022): Necesidad de revisar relaciones y potenciar industria básica (energía y materias primas).</w:t>
      </w:r>
    </w:p>
    <w:p w14:paraId="2D938DFC" w14:textId="77777777" w:rsidR="00F574A7" w:rsidRPr="0079070E" w:rsidRDefault="00F574A7" w:rsidP="00F574A7">
      <w:pPr>
        <w:rPr>
          <w:rFonts w:ascii="Cambria" w:hAnsi="Cambria"/>
          <w:b/>
          <w:bCs/>
        </w:rPr>
      </w:pPr>
      <w:r w:rsidRPr="0079070E">
        <w:rPr>
          <w:rFonts w:ascii="Cambria" w:hAnsi="Cambria"/>
          <w:b/>
          <w:bCs/>
        </w:rPr>
        <w:t>2. Origen de la Política Comercial Común</w:t>
      </w:r>
    </w:p>
    <w:p w14:paraId="10BAB964" w14:textId="77777777" w:rsidR="00F574A7" w:rsidRPr="0079070E" w:rsidRDefault="00F574A7" w:rsidP="00F574A7">
      <w:pPr>
        <w:rPr>
          <w:rFonts w:ascii="Cambria" w:hAnsi="Cambria"/>
          <w:b/>
          <w:bCs/>
        </w:rPr>
      </w:pPr>
      <w:r w:rsidRPr="0079070E">
        <w:rPr>
          <w:rFonts w:ascii="Cambria" w:hAnsi="Cambria"/>
          <w:b/>
          <w:bCs/>
        </w:rPr>
        <w:t>2.1. Antecedentes</w:t>
      </w:r>
    </w:p>
    <w:p w14:paraId="6666F7AF" w14:textId="77777777" w:rsidR="00F574A7" w:rsidRPr="0079070E" w:rsidRDefault="00F574A7" w:rsidP="00F574A7">
      <w:pPr>
        <w:numPr>
          <w:ilvl w:val="0"/>
          <w:numId w:val="28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GATT (1947):</w:t>
      </w:r>
      <w:r w:rsidRPr="0079070E">
        <w:rPr>
          <w:rFonts w:ascii="Cambria" w:hAnsi="Cambria"/>
        </w:rPr>
        <w:t xml:space="preserve"> Reducción de protección nacional mediante 8 Rondas de Negociación.</w:t>
      </w:r>
    </w:p>
    <w:p w14:paraId="1738E3EC" w14:textId="77777777" w:rsidR="00F574A7" w:rsidRPr="0079070E" w:rsidRDefault="00F574A7" w:rsidP="00F574A7">
      <w:pPr>
        <w:numPr>
          <w:ilvl w:val="0"/>
          <w:numId w:val="28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OMC (1995):</w:t>
      </w:r>
      <w:r w:rsidRPr="0079070E">
        <w:rPr>
          <w:rFonts w:ascii="Cambria" w:hAnsi="Cambria"/>
        </w:rPr>
        <w:t xml:space="preserve"> Asume el GATT e incorpora nuevos acuerdos. Ronda de Doha (2001) inconclusa.</w:t>
      </w:r>
    </w:p>
    <w:p w14:paraId="7C8C850F" w14:textId="77777777" w:rsidR="00F574A7" w:rsidRPr="0079070E" w:rsidRDefault="00F574A7" w:rsidP="00F574A7">
      <w:pPr>
        <w:numPr>
          <w:ilvl w:val="0"/>
          <w:numId w:val="28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Integración Europea:</w:t>
      </w:r>
    </w:p>
    <w:p w14:paraId="35D996B9" w14:textId="77777777" w:rsidR="00F574A7" w:rsidRPr="0079070E" w:rsidRDefault="00F574A7" w:rsidP="00F574A7">
      <w:pPr>
        <w:numPr>
          <w:ilvl w:val="1"/>
          <w:numId w:val="28"/>
        </w:numPr>
        <w:rPr>
          <w:rFonts w:ascii="Cambria" w:hAnsi="Cambria"/>
        </w:rPr>
      </w:pPr>
      <w:r w:rsidRPr="0079070E">
        <w:rPr>
          <w:rFonts w:ascii="Cambria" w:hAnsi="Cambria"/>
        </w:rPr>
        <w:t>Tratados de Roma (1957): PCC como política común.</w:t>
      </w:r>
    </w:p>
    <w:p w14:paraId="7777FDDD" w14:textId="77777777" w:rsidR="00F574A7" w:rsidRPr="0079070E" w:rsidRDefault="00F574A7" w:rsidP="00F574A7">
      <w:pPr>
        <w:numPr>
          <w:ilvl w:val="1"/>
          <w:numId w:val="28"/>
        </w:numPr>
        <w:rPr>
          <w:rFonts w:ascii="Cambria" w:hAnsi="Cambria"/>
        </w:rPr>
      </w:pPr>
      <w:r w:rsidRPr="0079070E">
        <w:rPr>
          <w:rFonts w:ascii="Cambria" w:hAnsi="Cambria"/>
        </w:rPr>
        <w:t>Unión Aduanera (1968).</w:t>
      </w:r>
    </w:p>
    <w:p w14:paraId="5152EC23" w14:textId="77777777" w:rsidR="00F574A7" w:rsidRPr="0079070E" w:rsidRDefault="00F574A7" w:rsidP="00F574A7">
      <w:pPr>
        <w:numPr>
          <w:ilvl w:val="1"/>
          <w:numId w:val="28"/>
        </w:numPr>
        <w:rPr>
          <w:rFonts w:ascii="Cambria" w:hAnsi="Cambria"/>
        </w:rPr>
      </w:pPr>
      <w:r w:rsidRPr="0079070E">
        <w:rPr>
          <w:rFonts w:ascii="Cambria" w:hAnsi="Cambria"/>
        </w:rPr>
        <w:t>Mercado Único (1993).</w:t>
      </w:r>
    </w:p>
    <w:p w14:paraId="7539E76F" w14:textId="77777777" w:rsidR="00F574A7" w:rsidRPr="0079070E" w:rsidRDefault="00F574A7" w:rsidP="00F574A7">
      <w:pPr>
        <w:rPr>
          <w:rFonts w:ascii="Cambria" w:hAnsi="Cambria"/>
          <w:b/>
          <w:bCs/>
        </w:rPr>
      </w:pPr>
      <w:r w:rsidRPr="0079070E">
        <w:rPr>
          <w:rFonts w:ascii="Cambria" w:hAnsi="Cambria"/>
          <w:b/>
          <w:bCs/>
        </w:rPr>
        <w:t>2.2. Competencias y Tratado de Lisboa (2009)</w:t>
      </w:r>
    </w:p>
    <w:p w14:paraId="49707CAB" w14:textId="77777777" w:rsidR="00F574A7" w:rsidRPr="0079070E" w:rsidRDefault="00F574A7" w:rsidP="00F574A7">
      <w:pPr>
        <w:numPr>
          <w:ilvl w:val="0"/>
          <w:numId w:val="29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Cesión de soberanía:</w:t>
      </w:r>
      <w:r w:rsidRPr="0079070E">
        <w:rPr>
          <w:rFonts w:ascii="Cambria" w:hAnsi="Cambria"/>
        </w:rPr>
        <w:t xml:space="preserve"> Los EEMM no negocian autónomamente; lo hace la Comisión en nombre de la UE.</w:t>
      </w:r>
    </w:p>
    <w:p w14:paraId="7B6B82F6" w14:textId="77777777" w:rsidR="00F574A7" w:rsidRPr="0079070E" w:rsidRDefault="00F574A7" w:rsidP="00F574A7">
      <w:pPr>
        <w:numPr>
          <w:ilvl w:val="0"/>
          <w:numId w:val="29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Novedades del Tratado de Lisboa:</w:t>
      </w:r>
    </w:p>
    <w:p w14:paraId="668C0536" w14:textId="77777777" w:rsidR="00F574A7" w:rsidRPr="0079070E" w:rsidRDefault="00F574A7" w:rsidP="00F574A7">
      <w:pPr>
        <w:numPr>
          <w:ilvl w:val="1"/>
          <w:numId w:val="29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Competencias exclusivas ampliadas:</w:t>
      </w:r>
      <w:r w:rsidRPr="0079070E">
        <w:rPr>
          <w:rFonts w:ascii="Cambria" w:hAnsi="Cambria"/>
        </w:rPr>
        <w:t xml:space="preserve"> Incluye servicios, propiedad intelectual (aspectos comerciales) e IED.</w:t>
      </w:r>
    </w:p>
    <w:p w14:paraId="24B0CD8C" w14:textId="77777777" w:rsidR="00F574A7" w:rsidRPr="0079070E" w:rsidRDefault="00F574A7" w:rsidP="00F574A7">
      <w:pPr>
        <w:numPr>
          <w:ilvl w:val="1"/>
          <w:numId w:val="29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Toma de decisiones:</w:t>
      </w:r>
      <w:r w:rsidRPr="0079070E">
        <w:rPr>
          <w:rFonts w:ascii="Cambria" w:hAnsi="Cambria"/>
        </w:rPr>
        <w:t xml:space="preserve"> Regla general de mayoría cualificada en el Consejo (unanimidad excepcional).</w:t>
      </w:r>
    </w:p>
    <w:p w14:paraId="2DCA4109" w14:textId="77777777" w:rsidR="00F574A7" w:rsidRPr="0079070E" w:rsidRDefault="00F574A7" w:rsidP="00F574A7">
      <w:pPr>
        <w:numPr>
          <w:ilvl w:val="1"/>
          <w:numId w:val="29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 xml:space="preserve">Sustitución de </w:t>
      </w:r>
      <w:proofErr w:type="spellStart"/>
      <w:r w:rsidRPr="0079070E">
        <w:rPr>
          <w:rFonts w:ascii="Cambria" w:hAnsi="Cambria"/>
          <w:b/>
          <w:bCs/>
        </w:rPr>
        <w:t>APPRIs</w:t>
      </w:r>
      <w:proofErr w:type="spellEnd"/>
      <w:r w:rsidRPr="0079070E">
        <w:rPr>
          <w:rFonts w:ascii="Cambria" w:hAnsi="Cambria"/>
          <w:b/>
          <w:bCs/>
        </w:rPr>
        <w:t>:</w:t>
      </w:r>
      <w:r w:rsidRPr="0079070E">
        <w:rPr>
          <w:rFonts w:ascii="Cambria" w:hAnsi="Cambria"/>
        </w:rPr>
        <w:t xml:space="preserve"> Los acuerdos de protección de inversiones de los EEMM se sustituyen progresivamente por acuerdos de la UE.</w:t>
      </w:r>
    </w:p>
    <w:p w14:paraId="432DD38E" w14:textId="77777777" w:rsidR="00F574A7" w:rsidRPr="0079070E" w:rsidRDefault="00F574A7" w:rsidP="00F574A7">
      <w:pPr>
        <w:numPr>
          <w:ilvl w:val="1"/>
          <w:numId w:val="29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Papel del Parlamento Europeo:</w:t>
      </w:r>
    </w:p>
    <w:p w14:paraId="5019CDE5" w14:textId="77777777" w:rsidR="00F574A7" w:rsidRPr="0079070E" w:rsidRDefault="00F574A7" w:rsidP="00F574A7">
      <w:pPr>
        <w:numPr>
          <w:ilvl w:val="2"/>
          <w:numId w:val="29"/>
        </w:numPr>
        <w:rPr>
          <w:rFonts w:ascii="Cambria" w:hAnsi="Cambria"/>
        </w:rPr>
      </w:pPr>
      <w:r w:rsidRPr="0079070E">
        <w:rPr>
          <w:rFonts w:ascii="Cambria" w:hAnsi="Cambria"/>
        </w:rPr>
        <w:t>Codecisión en legislación (marco de aplicación).</w:t>
      </w:r>
    </w:p>
    <w:p w14:paraId="08FCA5D5" w14:textId="77777777" w:rsidR="00F574A7" w:rsidRPr="0079070E" w:rsidRDefault="00F574A7" w:rsidP="00F574A7">
      <w:pPr>
        <w:numPr>
          <w:ilvl w:val="2"/>
          <w:numId w:val="29"/>
        </w:numPr>
        <w:rPr>
          <w:rFonts w:ascii="Cambria" w:hAnsi="Cambria"/>
        </w:rPr>
      </w:pPr>
      <w:r w:rsidRPr="0079070E">
        <w:rPr>
          <w:rFonts w:ascii="Cambria" w:hAnsi="Cambria"/>
        </w:rPr>
        <w:t>Debe ser informado durante negociaciones.</w:t>
      </w:r>
    </w:p>
    <w:p w14:paraId="5F729579" w14:textId="77777777" w:rsidR="00F574A7" w:rsidRPr="0079070E" w:rsidRDefault="00F574A7" w:rsidP="00F574A7">
      <w:pPr>
        <w:numPr>
          <w:ilvl w:val="2"/>
          <w:numId w:val="29"/>
        </w:numPr>
        <w:rPr>
          <w:rFonts w:ascii="Cambria" w:hAnsi="Cambria"/>
        </w:rPr>
      </w:pPr>
      <w:r w:rsidRPr="0079070E">
        <w:rPr>
          <w:rFonts w:ascii="Cambria" w:hAnsi="Cambria"/>
        </w:rPr>
        <w:t>Aprobación obligatoria del PE para concluir/celebrar acuerdos (poder de veto).</w:t>
      </w:r>
    </w:p>
    <w:p w14:paraId="49DD2C88" w14:textId="77777777" w:rsidR="00F574A7" w:rsidRPr="0079070E" w:rsidRDefault="00F574A7" w:rsidP="00F574A7">
      <w:pPr>
        <w:rPr>
          <w:rFonts w:ascii="Cambria" w:hAnsi="Cambria"/>
          <w:b/>
          <w:bCs/>
        </w:rPr>
      </w:pPr>
      <w:r w:rsidRPr="0079070E">
        <w:rPr>
          <w:rFonts w:ascii="Cambria" w:hAnsi="Cambria"/>
          <w:b/>
          <w:bCs/>
        </w:rPr>
        <w:t>3. Régimen Jurídico Actual</w:t>
      </w:r>
    </w:p>
    <w:p w14:paraId="4502349F" w14:textId="77777777" w:rsidR="00F574A7" w:rsidRPr="0079070E" w:rsidRDefault="00F574A7" w:rsidP="00F574A7">
      <w:pPr>
        <w:numPr>
          <w:ilvl w:val="0"/>
          <w:numId w:val="30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lastRenderedPageBreak/>
        <w:t>Base Legal:</w:t>
      </w:r>
      <w:r w:rsidRPr="0079070E">
        <w:rPr>
          <w:rFonts w:ascii="Cambria" w:hAnsi="Cambria"/>
        </w:rPr>
        <w:t xml:space="preserve"> Artículo 207 del TFUE (sustituye al Art. 133 TCE).</w:t>
      </w:r>
    </w:p>
    <w:p w14:paraId="00A9A217" w14:textId="77777777" w:rsidR="00F574A7" w:rsidRPr="0079070E" w:rsidRDefault="00F574A7" w:rsidP="00F574A7">
      <w:pPr>
        <w:numPr>
          <w:ilvl w:val="0"/>
          <w:numId w:val="30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Contenido Art. 207:</w:t>
      </w:r>
      <w:r w:rsidRPr="0079070E">
        <w:rPr>
          <w:rFonts w:ascii="Cambria" w:hAnsi="Cambria"/>
        </w:rPr>
        <w:t xml:space="preserve"> Uniformidad en modificaciones arancelarias, acuerdos de mercancías y servicios, propiedad intelectual, IED, liberalización, política de exportación y defensa comercial (dumping/subvenciones).</w:t>
      </w:r>
    </w:p>
    <w:p w14:paraId="06BBF62B" w14:textId="77777777" w:rsidR="00F574A7" w:rsidRPr="0079070E" w:rsidRDefault="00F574A7" w:rsidP="00F574A7">
      <w:pPr>
        <w:numPr>
          <w:ilvl w:val="0"/>
          <w:numId w:val="30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Toma de decisiones:</w:t>
      </w:r>
    </w:p>
    <w:p w14:paraId="73DF90BB" w14:textId="77777777" w:rsidR="00F574A7" w:rsidRPr="0079070E" w:rsidRDefault="00F574A7" w:rsidP="00F574A7">
      <w:pPr>
        <w:numPr>
          <w:ilvl w:val="1"/>
          <w:numId w:val="30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Comisión Europea:</w:t>
      </w:r>
      <w:r w:rsidRPr="0079070E">
        <w:rPr>
          <w:rFonts w:ascii="Cambria" w:hAnsi="Cambria"/>
        </w:rPr>
        <w:t xml:space="preserve"> Poder de iniciativa, gestión y negociación.</w:t>
      </w:r>
    </w:p>
    <w:p w14:paraId="62C05BB7" w14:textId="77777777" w:rsidR="00F574A7" w:rsidRPr="0079070E" w:rsidRDefault="00F574A7" w:rsidP="00F574A7">
      <w:pPr>
        <w:numPr>
          <w:ilvl w:val="1"/>
          <w:numId w:val="30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Consejo de la UE:</w:t>
      </w:r>
      <w:r w:rsidRPr="0079070E">
        <w:rPr>
          <w:rFonts w:ascii="Cambria" w:hAnsi="Cambria"/>
        </w:rPr>
        <w:t xml:space="preserve"> Fija la posición comunitaria a través del Comité de Política Comercial.</w:t>
      </w:r>
    </w:p>
    <w:p w14:paraId="088B74CB" w14:textId="77777777" w:rsidR="00F574A7" w:rsidRPr="0079070E" w:rsidRDefault="00F574A7" w:rsidP="00F574A7">
      <w:pPr>
        <w:numPr>
          <w:ilvl w:val="0"/>
          <w:numId w:val="30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Comité de Política Comercial:</w:t>
      </w:r>
    </w:p>
    <w:p w14:paraId="690C4624" w14:textId="77777777" w:rsidR="00F574A7" w:rsidRPr="0079070E" w:rsidRDefault="00F574A7" w:rsidP="00F574A7">
      <w:pPr>
        <w:numPr>
          <w:ilvl w:val="1"/>
          <w:numId w:val="30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Titulares:</w:t>
      </w:r>
      <w:r w:rsidRPr="0079070E">
        <w:rPr>
          <w:rFonts w:ascii="Cambria" w:hAnsi="Cambria"/>
        </w:rPr>
        <w:t xml:space="preserve"> </w:t>
      </w:r>
      <w:proofErr w:type="gramStart"/>
      <w:r w:rsidRPr="0079070E">
        <w:rPr>
          <w:rFonts w:ascii="Cambria" w:hAnsi="Cambria"/>
        </w:rPr>
        <w:t>Directores Generales</w:t>
      </w:r>
      <w:proofErr w:type="gramEnd"/>
      <w:r w:rsidRPr="0079070E">
        <w:rPr>
          <w:rFonts w:ascii="Cambria" w:hAnsi="Cambria"/>
        </w:rPr>
        <w:t xml:space="preserve"> (se reúnen mensualmente). Representante ES: D.G. de Política Comercial.</w:t>
      </w:r>
    </w:p>
    <w:p w14:paraId="16EBCE57" w14:textId="77777777" w:rsidR="00F574A7" w:rsidRPr="0079070E" w:rsidRDefault="00F574A7" w:rsidP="00F574A7">
      <w:pPr>
        <w:numPr>
          <w:ilvl w:val="1"/>
          <w:numId w:val="30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Suplentes:</w:t>
      </w:r>
      <w:r w:rsidRPr="0079070E">
        <w:rPr>
          <w:rFonts w:ascii="Cambria" w:hAnsi="Cambria"/>
        </w:rPr>
        <w:t xml:space="preserve"> </w:t>
      </w:r>
      <w:proofErr w:type="gramStart"/>
      <w:r w:rsidRPr="0079070E">
        <w:rPr>
          <w:rFonts w:ascii="Cambria" w:hAnsi="Cambria"/>
        </w:rPr>
        <w:t>Consejeros</w:t>
      </w:r>
      <w:proofErr w:type="gramEnd"/>
      <w:r w:rsidRPr="0079070E">
        <w:rPr>
          <w:rFonts w:ascii="Cambria" w:hAnsi="Cambria"/>
        </w:rPr>
        <w:t xml:space="preserve"> Comerciales (semanalmente). Representante ES: </w:t>
      </w:r>
      <w:proofErr w:type="gramStart"/>
      <w:r w:rsidRPr="0079070E">
        <w:rPr>
          <w:rFonts w:ascii="Cambria" w:hAnsi="Cambria"/>
        </w:rPr>
        <w:t>Consejero</w:t>
      </w:r>
      <w:proofErr w:type="gramEnd"/>
      <w:r w:rsidRPr="0079070E">
        <w:rPr>
          <w:rFonts w:ascii="Cambria" w:hAnsi="Cambria"/>
        </w:rPr>
        <w:t xml:space="preserve"> Comercial </w:t>
      </w:r>
      <w:proofErr w:type="gramStart"/>
      <w:r w:rsidRPr="0079070E">
        <w:rPr>
          <w:rFonts w:ascii="Cambria" w:hAnsi="Cambria"/>
        </w:rPr>
        <w:t>Jefe</w:t>
      </w:r>
      <w:proofErr w:type="gramEnd"/>
      <w:r w:rsidRPr="0079070E">
        <w:rPr>
          <w:rFonts w:ascii="Cambria" w:hAnsi="Cambria"/>
        </w:rPr>
        <w:t xml:space="preserve"> REPER.</w:t>
      </w:r>
    </w:p>
    <w:p w14:paraId="6F578B5C" w14:textId="77777777" w:rsidR="00F574A7" w:rsidRPr="0079070E" w:rsidRDefault="00F574A7" w:rsidP="00F574A7">
      <w:pPr>
        <w:numPr>
          <w:ilvl w:val="1"/>
          <w:numId w:val="30"/>
        </w:numPr>
        <w:rPr>
          <w:rFonts w:ascii="Cambria" w:hAnsi="Cambria"/>
        </w:rPr>
      </w:pPr>
      <w:r w:rsidRPr="0079070E">
        <w:rPr>
          <w:rFonts w:ascii="Cambria" w:hAnsi="Cambria"/>
        </w:rPr>
        <w:t>Grupos expertos: Servicios, Acero, Textiles, etc.</w:t>
      </w:r>
    </w:p>
    <w:p w14:paraId="0C8A4BA0" w14:textId="77777777" w:rsidR="00F574A7" w:rsidRPr="0079070E" w:rsidRDefault="00F574A7" w:rsidP="00F574A7">
      <w:pPr>
        <w:rPr>
          <w:rFonts w:ascii="Cambria" w:hAnsi="Cambria"/>
          <w:b/>
          <w:bCs/>
        </w:rPr>
      </w:pPr>
      <w:r w:rsidRPr="0079070E">
        <w:rPr>
          <w:rFonts w:ascii="Cambria" w:hAnsi="Cambria"/>
          <w:b/>
          <w:bCs/>
        </w:rPr>
        <w:t>4. Funcionamiento de la Política Comercial</w:t>
      </w:r>
    </w:p>
    <w:p w14:paraId="3083EEB3" w14:textId="77777777" w:rsidR="00F574A7" w:rsidRPr="0079070E" w:rsidRDefault="00F574A7" w:rsidP="00F574A7">
      <w:pPr>
        <w:rPr>
          <w:rFonts w:ascii="Cambria" w:hAnsi="Cambria"/>
        </w:rPr>
      </w:pPr>
      <w:r w:rsidRPr="0079070E">
        <w:rPr>
          <w:rFonts w:ascii="Cambria" w:hAnsi="Cambria"/>
        </w:rPr>
        <w:t>Actúa en tres niveles para abrir mercados y asegurar igualdad de condiciones:</w:t>
      </w:r>
    </w:p>
    <w:p w14:paraId="50691DFF" w14:textId="77777777" w:rsidR="00F574A7" w:rsidRPr="0079070E" w:rsidRDefault="00F574A7" w:rsidP="00F574A7">
      <w:pPr>
        <w:numPr>
          <w:ilvl w:val="0"/>
          <w:numId w:val="31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Nivel Multilateral:</w:t>
      </w:r>
      <w:r w:rsidRPr="0079070E">
        <w:rPr>
          <w:rFonts w:ascii="Cambria" w:hAnsi="Cambria"/>
        </w:rPr>
        <w:t xml:space="preserve"> OMC (Prioridad: conclusión Ronda Doha).</w:t>
      </w:r>
    </w:p>
    <w:p w14:paraId="6BB098B9" w14:textId="77777777" w:rsidR="00F574A7" w:rsidRPr="0079070E" w:rsidRDefault="00F574A7" w:rsidP="00F574A7">
      <w:pPr>
        <w:numPr>
          <w:ilvl w:val="0"/>
          <w:numId w:val="31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Nivel Bilateral:</w:t>
      </w:r>
    </w:p>
    <w:p w14:paraId="70DFF048" w14:textId="77777777" w:rsidR="00F574A7" w:rsidRPr="0079070E" w:rsidRDefault="00F574A7" w:rsidP="00F574A7">
      <w:pPr>
        <w:numPr>
          <w:ilvl w:val="1"/>
          <w:numId w:val="31"/>
        </w:numPr>
        <w:rPr>
          <w:rFonts w:ascii="Cambria" w:hAnsi="Cambria"/>
        </w:rPr>
      </w:pPr>
      <w:r w:rsidRPr="0079070E">
        <w:rPr>
          <w:rFonts w:ascii="Cambria" w:hAnsi="Cambria"/>
        </w:rPr>
        <w:t>Acuerdos de Libre Comercio</w:t>
      </w:r>
    </w:p>
    <w:p w14:paraId="5A11FCC1" w14:textId="77777777" w:rsidR="00F574A7" w:rsidRPr="0079070E" w:rsidRDefault="00F574A7" w:rsidP="00F574A7">
      <w:pPr>
        <w:numPr>
          <w:ilvl w:val="1"/>
          <w:numId w:val="31"/>
        </w:numPr>
        <w:rPr>
          <w:rFonts w:ascii="Cambria" w:hAnsi="Cambria"/>
        </w:rPr>
      </w:pPr>
      <w:r w:rsidRPr="0079070E">
        <w:rPr>
          <w:rFonts w:ascii="Cambria" w:hAnsi="Cambria"/>
        </w:rPr>
        <w:t>Acuerdos de Asociación o Cooperación con socios estratégicos.</w:t>
      </w:r>
    </w:p>
    <w:p w14:paraId="7F1A6907" w14:textId="77777777" w:rsidR="00F574A7" w:rsidRPr="0079070E" w:rsidRDefault="00F574A7" w:rsidP="00F574A7">
      <w:pPr>
        <w:numPr>
          <w:ilvl w:val="0"/>
          <w:numId w:val="31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Nivel Unilateral:</w:t>
      </w:r>
    </w:p>
    <w:p w14:paraId="333C277B" w14:textId="77777777" w:rsidR="00F574A7" w:rsidRPr="0079070E" w:rsidRDefault="00F574A7" w:rsidP="00F574A7">
      <w:pPr>
        <w:numPr>
          <w:ilvl w:val="1"/>
          <w:numId w:val="31"/>
        </w:numPr>
        <w:rPr>
          <w:rFonts w:ascii="Cambria" w:hAnsi="Cambria"/>
        </w:rPr>
      </w:pPr>
      <w:r w:rsidRPr="0079070E">
        <w:rPr>
          <w:rFonts w:ascii="Cambria" w:hAnsi="Cambria"/>
        </w:rPr>
        <w:t xml:space="preserve">Instrumentos de Defensa Comercial (antidumping, </w:t>
      </w:r>
      <w:proofErr w:type="spellStart"/>
      <w:r w:rsidRPr="0079070E">
        <w:rPr>
          <w:rFonts w:ascii="Cambria" w:hAnsi="Cambria"/>
        </w:rPr>
        <w:t>antisubvenciones</w:t>
      </w:r>
      <w:proofErr w:type="spellEnd"/>
      <w:r w:rsidRPr="0079070E">
        <w:rPr>
          <w:rFonts w:ascii="Cambria" w:hAnsi="Cambria"/>
        </w:rPr>
        <w:t>).</w:t>
      </w:r>
    </w:p>
    <w:p w14:paraId="25C36FEE" w14:textId="77777777" w:rsidR="00F574A7" w:rsidRPr="0079070E" w:rsidRDefault="00F574A7" w:rsidP="00F574A7">
      <w:pPr>
        <w:numPr>
          <w:ilvl w:val="1"/>
          <w:numId w:val="31"/>
        </w:numPr>
        <w:rPr>
          <w:rFonts w:ascii="Cambria" w:hAnsi="Cambria"/>
        </w:rPr>
      </w:pPr>
      <w:r w:rsidRPr="0079070E">
        <w:rPr>
          <w:rFonts w:ascii="Cambria" w:hAnsi="Cambria"/>
        </w:rPr>
        <w:t>SPG para Países en Desarrollo.</w:t>
      </w:r>
    </w:p>
    <w:p w14:paraId="55A9B38F" w14:textId="77777777" w:rsidR="00F574A7" w:rsidRPr="0079070E" w:rsidRDefault="00F574A7" w:rsidP="00F574A7">
      <w:pPr>
        <w:rPr>
          <w:rFonts w:ascii="Cambria" w:hAnsi="Cambria"/>
          <w:b/>
          <w:bCs/>
        </w:rPr>
      </w:pPr>
      <w:r w:rsidRPr="0079070E">
        <w:rPr>
          <w:rFonts w:ascii="Cambria" w:hAnsi="Cambria"/>
          <w:b/>
          <w:bCs/>
        </w:rPr>
        <w:t>5. Acuerdos de Liberalización Comercial</w:t>
      </w:r>
    </w:p>
    <w:p w14:paraId="6A5A5455" w14:textId="77777777" w:rsidR="00F574A7" w:rsidRPr="0079070E" w:rsidRDefault="00F574A7" w:rsidP="00F574A7">
      <w:pPr>
        <w:rPr>
          <w:rFonts w:ascii="Cambria" w:hAnsi="Cambria"/>
          <w:b/>
          <w:bCs/>
        </w:rPr>
      </w:pPr>
      <w:r w:rsidRPr="0079070E">
        <w:rPr>
          <w:rFonts w:ascii="Cambria" w:hAnsi="Cambria"/>
          <w:b/>
          <w:bCs/>
        </w:rPr>
        <w:t>5.1. Tipología</w:t>
      </w:r>
    </w:p>
    <w:p w14:paraId="2662237D" w14:textId="77777777" w:rsidR="00F574A7" w:rsidRPr="0079070E" w:rsidRDefault="00F574A7" w:rsidP="00F574A7">
      <w:pPr>
        <w:numPr>
          <w:ilvl w:val="0"/>
          <w:numId w:val="32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No Preferenciales:</w:t>
      </w:r>
      <w:r w:rsidRPr="0079070E">
        <w:rPr>
          <w:rFonts w:ascii="Cambria" w:hAnsi="Cambria"/>
        </w:rPr>
        <w:t xml:space="preserve"> Aplican Cláusula de Nación Más Favorecida (NMF). Generalmente con socios estratégicos (</w:t>
      </w:r>
      <w:proofErr w:type="gramStart"/>
      <w:r w:rsidRPr="0079070E">
        <w:rPr>
          <w:rFonts w:ascii="Cambria" w:hAnsi="Cambria"/>
        </w:rPr>
        <w:t>EE.UU.</w:t>
      </w:r>
      <w:proofErr w:type="gramEnd"/>
      <w:r w:rsidRPr="0079070E">
        <w:rPr>
          <w:rFonts w:ascii="Cambria" w:hAnsi="Cambria"/>
        </w:rPr>
        <w:t>, China, Rusia) para cooperación regulatoria.</w:t>
      </w:r>
    </w:p>
    <w:p w14:paraId="1DF82763" w14:textId="77777777" w:rsidR="00F574A7" w:rsidRPr="0079070E" w:rsidRDefault="00F574A7" w:rsidP="00F574A7">
      <w:pPr>
        <w:numPr>
          <w:ilvl w:val="0"/>
          <w:numId w:val="32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Preferenciales:</w:t>
      </w:r>
      <w:r w:rsidRPr="0079070E">
        <w:rPr>
          <w:rFonts w:ascii="Cambria" w:hAnsi="Cambria"/>
        </w:rPr>
        <w:t xml:space="preserve"> Ventajas superiores a NMF. Requisitos OMC:</w:t>
      </w:r>
    </w:p>
    <w:p w14:paraId="540BC48D" w14:textId="77777777" w:rsidR="00F574A7" w:rsidRPr="0079070E" w:rsidRDefault="00F574A7" w:rsidP="00F574A7">
      <w:pPr>
        <w:numPr>
          <w:ilvl w:val="1"/>
          <w:numId w:val="32"/>
        </w:numPr>
        <w:rPr>
          <w:rFonts w:ascii="Cambria" w:hAnsi="Cambria"/>
        </w:rPr>
      </w:pPr>
      <w:r w:rsidRPr="0079070E">
        <w:rPr>
          <w:rFonts w:ascii="Cambria" w:hAnsi="Cambria"/>
        </w:rPr>
        <w:lastRenderedPageBreak/>
        <w:t>Cubrir lo esencial del comercio (&gt;90%).</w:t>
      </w:r>
    </w:p>
    <w:p w14:paraId="628028EA" w14:textId="77777777" w:rsidR="00F574A7" w:rsidRPr="0079070E" w:rsidRDefault="00F574A7" w:rsidP="00F574A7">
      <w:pPr>
        <w:numPr>
          <w:ilvl w:val="1"/>
          <w:numId w:val="32"/>
        </w:numPr>
        <w:rPr>
          <w:rFonts w:ascii="Cambria" w:hAnsi="Cambria"/>
        </w:rPr>
      </w:pPr>
      <w:r w:rsidRPr="0079070E">
        <w:rPr>
          <w:rFonts w:ascii="Cambria" w:hAnsi="Cambria"/>
        </w:rPr>
        <w:t>Liberalización sustancial de servicios.</w:t>
      </w:r>
    </w:p>
    <w:p w14:paraId="69AE9516" w14:textId="77777777" w:rsidR="00F574A7" w:rsidRPr="0079070E" w:rsidRDefault="00F574A7" w:rsidP="00F574A7">
      <w:pPr>
        <w:numPr>
          <w:ilvl w:val="1"/>
          <w:numId w:val="32"/>
        </w:numPr>
        <w:rPr>
          <w:rFonts w:ascii="Cambria" w:hAnsi="Cambria"/>
        </w:rPr>
      </w:pPr>
      <w:r w:rsidRPr="0079070E">
        <w:rPr>
          <w:rFonts w:ascii="Cambria" w:hAnsi="Cambria"/>
        </w:rPr>
        <w:t>No elevar protección frente a terceros.</w:t>
      </w:r>
    </w:p>
    <w:p w14:paraId="699A6566" w14:textId="77777777" w:rsidR="00F574A7" w:rsidRPr="0079070E" w:rsidRDefault="00F574A7" w:rsidP="00F574A7">
      <w:pPr>
        <w:rPr>
          <w:rFonts w:ascii="Cambria" w:hAnsi="Cambria"/>
          <w:b/>
          <w:bCs/>
        </w:rPr>
      </w:pPr>
      <w:r w:rsidRPr="0079070E">
        <w:rPr>
          <w:rFonts w:ascii="Cambria" w:hAnsi="Cambria"/>
          <w:b/>
          <w:bCs/>
        </w:rPr>
        <w:t>5.2. Contenido habitual de acuerdos preferenciales</w:t>
      </w:r>
    </w:p>
    <w:p w14:paraId="6330F649" w14:textId="77777777" w:rsidR="00F574A7" w:rsidRPr="0079070E" w:rsidRDefault="00F574A7" w:rsidP="00F574A7">
      <w:pPr>
        <w:numPr>
          <w:ilvl w:val="0"/>
          <w:numId w:val="33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Mercancías:</w:t>
      </w:r>
      <w:r w:rsidRPr="0079070E">
        <w:rPr>
          <w:rFonts w:ascii="Cambria" w:hAnsi="Cambria"/>
        </w:rPr>
        <w:t xml:space="preserve"> Desarme arancelario.</w:t>
      </w:r>
    </w:p>
    <w:p w14:paraId="68652E80" w14:textId="77777777" w:rsidR="00F574A7" w:rsidRPr="0079070E" w:rsidRDefault="00F574A7" w:rsidP="00F574A7">
      <w:pPr>
        <w:numPr>
          <w:ilvl w:val="0"/>
          <w:numId w:val="33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Servicios:</w:t>
      </w:r>
      <w:r w:rsidRPr="0079070E">
        <w:rPr>
          <w:rFonts w:ascii="Cambria" w:hAnsi="Cambria"/>
        </w:rPr>
        <w:t xml:space="preserve"> Zona de Libre Comercio progresiva (4 modos de suministro).</w:t>
      </w:r>
    </w:p>
    <w:p w14:paraId="0CB5D87E" w14:textId="77777777" w:rsidR="00F574A7" w:rsidRPr="0079070E" w:rsidRDefault="00F574A7" w:rsidP="00F574A7">
      <w:pPr>
        <w:numPr>
          <w:ilvl w:val="0"/>
          <w:numId w:val="33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Inversiones:</w:t>
      </w:r>
      <w:r w:rsidRPr="0079070E">
        <w:rPr>
          <w:rFonts w:ascii="Cambria" w:hAnsi="Cambria"/>
        </w:rPr>
        <w:t xml:space="preserve"> Mejora de establecimiento y libre transferencia de pagos.</w:t>
      </w:r>
    </w:p>
    <w:p w14:paraId="373F1425" w14:textId="77777777" w:rsidR="00F574A7" w:rsidRPr="0079070E" w:rsidRDefault="00F574A7" w:rsidP="00F574A7">
      <w:pPr>
        <w:numPr>
          <w:ilvl w:val="0"/>
          <w:numId w:val="33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Propiedad Intelectual:</w:t>
      </w:r>
      <w:r w:rsidRPr="0079070E">
        <w:rPr>
          <w:rFonts w:ascii="Cambria" w:hAnsi="Cambria"/>
        </w:rPr>
        <w:t xml:space="preserve"> A menudo TRIPS+ (protección superior a OMC).</w:t>
      </w:r>
    </w:p>
    <w:p w14:paraId="09F49607" w14:textId="77777777" w:rsidR="00F574A7" w:rsidRPr="0079070E" w:rsidRDefault="00F574A7" w:rsidP="00F574A7">
      <w:pPr>
        <w:numPr>
          <w:ilvl w:val="0"/>
          <w:numId w:val="33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Contratación Pública:</w:t>
      </w:r>
      <w:r w:rsidRPr="0079070E">
        <w:rPr>
          <w:rFonts w:ascii="Cambria" w:hAnsi="Cambria"/>
        </w:rPr>
        <w:t xml:space="preserve"> Apertura de licitaciones.</w:t>
      </w:r>
    </w:p>
    <w:p w14:paraId="34F9495F" w14:textId="6855EC2B" w:rsidR="00F574A7" w:rsidRPr="0079070E" w:rsidRDefault="00F574A7" w:rsidP="00F574A7">
      <w:pPr>
        <w:numPr>
          <w:ilvl w:val="0"/>
          <w:numId w:val="33"/>
        </w:numPr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Otros:</w:t>
      </w:r>
      <w:r w:rsidRPr="0079070E">
        <w:rPr>
          <w:rFonts w:ascii="Cambria" w:hAnsi="Cambria"/>
        </w:rPr>
        <w:t xml:space="preserve"> Facilitación de comercio, Normas de Origen, Solución de Diferencias (bilateral), Desarrollo Sostenible.</w:t>
      </w:r>
    </w:p>
    <w:p w14:paraId="4B5FE0D0" w14:textId="1BEEB607" w:rsidR="00F574A7" w:rsidRPr="0079070E" w:rsidRDefault="00F93B58" w:rsidP="00F574A7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9070E">
        <w:rPr>
          <w:rFonts w:ascii="Cambria" w:hAnsi="Cambria"/>
          <w:b/>
          <w:bCs/>
          <w:color w:val="auto"/>
          <w:sz w:val="28"/>
          <w:szCs w:val="28"/>
        </w:rPr>
        <w:t>6. RELACIONES CON ASIA</w:t>
      </w:r>
    </w:p>
    <w:p w14:paraId="06AAE720" w14:textId="77777777" w:rsidR="00F93B58" w:rsidRPr="0079070E" w:rsidRDefault="00F93B58" w:rsidP="00F93B5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9070E">
        <w:rPr>
          <w:rFonts w:ascii="Cambria" w:hAnsi="Cambria"/>
          <w:b/>
          <w:bCs/>
          <w:color w:val="auto"/>
          <w:sz w:val="24"/>
          <w:szCs w:val="24"/>
        </w:rPr>
        <w:t>6.1. Corea del Sur</w:t>
      </w:r>
    </w:p>
    <w:p w14:paraId="6571732A" w14:textId="3D794597" w:rsidR="00F93B58" w:rsidRPr="0079070E" w:rsidRDefault="00F93B58" w:rsidP="00F93B58">
      <w:pPr>
        <w:numPr>
          <w:ilvl w:val="1"/>
          <w:numId w:val="22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Socio estratégico con un Acuerdo de Libre Comercio en vigor desde 2011 (primer acuerdo de nueva generación en Asia).</w:t>
      </w:r>
    </w:p>
    <w:p w14:paraId="4C5C0978" w14:textId="77777777" w:rsidR="00F93B58" w:rsidRPr="0079070E" w:rsidRDefault="00F93B58" w:rsidP="00F93B58">
      <w:pPr>
        <w:numPr>
          <w:ilvl w:val="1"/>
          <w:numId w:val="22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Elimina casi todos los aranceles industriales y agrícolas, y liberaliza servicios, inversiones y compras públicas.</w:t>
      </w:r>
    </w:p>
    <w:p w14:paraId="01E41A10" w14:textId="77777777" w:rsidR="00F93B58" w:rsidRPr="0079070E" w:rsidRDefault="00F93B58" w:rsidP="00F93B5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9070E">
        <w:rPr>
          <w:rFonts w:ascii="Cambria" w:hAnsi="Cambria"/>
          <w:b/>
          <w:bCs/>
          <w:color w:val="auto"/>
          <w:sz w:val="24"/>
          <w:szCs w:val="24"/>
        </w:rPr>
        <w:t>6.2. India</w:t>
      </w:r>
    </w:p>
    <w:p w14:paraId="26C886A5" w14:textId="77777777" w:rsidR="00F93B58" w:rsidRPr="0079070E" w:rsidRDefault="00F93B58" w:rsidP="00F93B58">
      <w:pPr>
        <w:numPr>
          <w:ilvl w:val="1"/>
          <w:numId w:val="22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Relaciones basadas en el Acuerdo de Cooperación de 1994 y la Asociación Estratégica de 2004.</w:t>
      </w:r>
    </w:p>
    <w:p w14:paraId="75E22F92" w14:textId="77777777" w:rsidR="00F93B58" w:rsidRPr="0079070E" w:rsidRDefault="00F93B58" w:rsidP="00F93B58">
      <w:pPr>
        <w:numPr>
          <w:ilvl w:val="1"/>
          <w:numId w:val="22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Las negociaciones del TLC se paralizaron en 2013 y se reanudaron formalmente en 2022, junto con negociaciones sobre protección de inversiones e indicaciones geográficas.</w:t>
      </w:r>
    </w:p>
    <w:p w14:paraId="0147FDC3" w14:textId="77777777" w:rsidR="00F93B58" w:rsidRPr="0079070E" w:rsidRDefault="00F93B58" w:rsidP="00F93B5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9070E">
        <w:rPr>
          <w:rFonts w:ascii="Cambria" w:hAnsi="Cambria"/>
          <w:b/>
          <w:bCs/>
          <w:color w:val="auto"/>
          <w:sz w:val="24"/>
          <w:szCs w:val="24"/>
        </w:rPr>
        <w:t>6.3. China</w:t>
      </w:r>
    </w:p>
    <w:p w14:paraId="41DECFEC" w14:textId="77777777" w:rsidR="00F93B58" w:rsidRPr="0079070E" w:rsidRDefault="00F93B58" w:rsidP="00F93B58">
      <w:pPr>
        <w:numPr>
          <w:ilvl w:val="1"/>
          <w:numId w:val="22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Socio comercial clave (mayor proveedor de la UE) con fuertes desequilibrios y rivalidad sistémica. Rige el Acuerdo de Cooperación de 1985 (embargo de armas vigente).</w:t>
      </w:r>
    </w:p>
    <w:p w14:paraId="1BDB5F6A" w14:textId="77777777" w:rsidR="00F93B58" w:rsidRPr="0079070E" w:rsidRDefault="00F93B58" w:rsidP="00F93B58">
      <w:pPr>
        <w:numPr>
          <w:ilvl w:val="1"/>
          <w:numId w:val="22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El Acuerdo de Inversiones (CAI), cerrado en 2020, está congelado por sanciones mutuas.</w:t>
      </w:r>
    </w:p>
    <w:p w14:paraId="49E819CF" w14:textId="77777777" w:rsidR="00F93B58" w:rsidRPr="0079070E" w:rsidRDefault="00F93B58" w:rsidP="00F93B58">
      <w:pPr>
        <w:numPr>
          <w:ilvl w:val="1"/>
          <w:numId w:val="22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Existen tensiones por la postura china ante la guerra en Ucrania y prácticas comerciales desleales.</w:t>
      </w:r>
    </w:p>
    <w:p w14:paraId="6832EBCB" w14:textId="77777777" w:rsidR="00F93B58" w:rsidRPr="0079070E" w:rsidRDefault="00F93B58" w:rsidP="00F93B5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9070E">
        <w:rPr>
          <w:rFonts w:ascii="Cambria" w:hAnsi="Cambria"/>
          <w:b/>
          <w:bCs/>
          <w:color w:val="auto"/>
          <w:sz w:val="24"/>
          <w:szCs w:val="24"/>
        </w:rPr>
        <w:lastRenderedPageBreak/>
        <w:t>6.4. Japón</w:t>
      </w:r>
    </w:p>
    <w:p w14:paraId="048CC389" w14:textId="48A65623" w:rsidR="00F93B58" w:rsidRPr="0079070E" w:rsidRDefault="00F93B58" w:rsidP="00F93B58">
      <w:pPr>
        <w:numPr>
          <w:ilvl w:val="1"/>
          <w:numId w:val="22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Socio estratégico con un Acuerdo de Asociación Económica</w:t>
      </w:r>
      <w:r w:rsidR="00F574A7" w:rsidRPr="0079070E">
        <w:rPr>
          <w:rFonts w:ascii="Cambria" w:hAnsi="Cambria"/>
        </w:rPr>
        <w:t xml:space="preserve"> </w:t>
      </w:r>
      <w:r w:rsidRPr="0079070E">
        <w:rPr>
          <w:rFonts w:ascii="Cambria" w:hAnsi="Cambria"/>
        </w:rPr>
        <w:t>en vigor desde febrero de 2019.</w:t>
      </w:r>
    </w:p>
    <w:p w14:paraId="27360AC1" w14:textId="77777777" w:rsidR="00F93B58" w:rsidRPr="0079070E" w:rsidRDefault="00F93B58" w:rsidP="00F93B58">
      <w:pPr>
        <w:numPr>
          <w:ilvl w:val="1"/>
          <w:numId w:val="22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Crea una enorme zona económica abierta, eliminando aranceles en sectores clave (automoción, agroalimentario) y abriendo licitaciones públicas.</w:t>
      </w:r>
    </w:p>
    <w:p w14:paraId="5F47597D" w14:textId="77777777" w:rsidR="00F93B58" w:rsidRPr="0079070E" w:rsidRDefault="00F93B58" w:rsidP="00F93B5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9070E">
        <w:rPr>
          <w:rFonts w:ascii="Cambria" w:hAnsi="Cambria"/>
          <w:b/>
          <w:bCs/>
          <w:color w:val="auto"/>
          <w:sz w:val="24"/>
          <w:szCs w:val="24"/>
        </w:rPr>
        <w:t>6.5. ASEAN</w:t>
      </w:r>
    </w:p>
    <w:p w14:paraId="4F410646" w14:textId="77777777" w:rsidR="00F93B58" w:rsidRPr="0079070E" w:rsidRDefault="00F93B58" w:rsidP="00F93B58">
      <w:pPr>
        <w:numPr>
          <w:ilvl w:val="1"/>
          <w:numId w:val="22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El objetivo de un TLC región-región está paralizado; la UE negocia bilateralmente.</w:t>
      </w:r>
    </w:p>
    <w:p w14:paraId="0C9A7A8F" w14:textId="77777777" w:rsidR="00F93B58" w:rsidRPr="0079070E" w:rsidRDefault="00F93B58" w:rsidP="00F93B58">
      <w:pPr>
        <w:numPr>
          <w:ilvl w:val="1"/>
          <w:numId w:val="22"/>
        </w:numPr>
        <w:jc w:val="both"/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Acuerdos vigentes:</w:t>
      </w:r>
      <w:r w:rsidRPr="0079070E">
        <w:rPr>
          <w:rFonts w:ascii="Cambria" w:hAnsi="Cambria"/>
        </w:rPr>
        <w:t xml:space="preserve"> Singapur (2019) y Vietnam (2020).</w:t>
      </w:r>
    </w:p>
    <w:p w14:paraId="1D5C6C3C" w14:textId="77777777" w:rsidR="00F93B58" w:rsidRPr="0079070E" w:rsidRDefault="00F93B58" w:rsidP="00F93B58">
      <w:pPr>
        <w:numPr>
          <w:ilvl w:val="1"/>
          <w:numId w:val="22"/>
        </w:numPr>
        <w:jc w:val="both"/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Negociaciones:</w:t>
      </w:r>
      <w:r w:rsidRPr="0079070E">
        <w:rPr>
          <w:rFonts w:ascii="Cambria" w:hAnsi="Cambria"/>
        </w:rPr>
        <w:t xml:space="preserve"> Reiniciadas con Tailandia y Filipinas; en curso con Indonesia.</w:t>
      </w:r>
    </w:p>
    <w:p w14:paraId="7DB0FAAE" w14:textId="77777777" w:rsidR="00F93B58" w:rsidRPr="0079070E" w:rsidRDefault="00F93B58" w:rsidP="00F93B58">
      <w:pPr>
        <w:numPr>
          <w:ilvl w:val="1"/>
          <w:numId w:val="22"/>
        </w:numPr>
        <w:jc w:val="both"/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Otros:</w:t>
      </w:r>
      <w:r w:rsidRPr="0079070E">
        <w:rPr>
          <w:rFonts w:ascii="Cambria" w:hAnsi="Cambria"/>
        </w:rPr>
        <w:t xml:space="preserve"> Myanmar y Camboya se benefician del régimen EBA (Todo menos armas).</w:t>
      </w:r>
    </w:p>
    <w:p w14:paraId="098DF0F5" w14:textId="69C215B0" w:rsidR="00F93B58" w:rsidRPr="0079070E" w:rsidRDefault="00F93B58" w:rsidP="00F93B58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9070E">
        <w:rPr>
          <w:rFonts w:ascii="Cambria" w:hAnsi="Cambria"/>
          <w:b/>
          <w:bCs/>
          <w:color w:val="auto"/>
          <w:sz w:val="28"/>
          <w:szCs w:val="28"/>
        </w:rPr>
        <w:t>7. RELACIONES CON EL CONSEJO DE COOPERACIÓN DEL GOLFO</w:t>
      </w:r>
    </w:p>
    <w:p w14:paraId="25619157" w14:textId="77777777" w:rsidR="00F93B58" w:rsidRPr="0079070E" w:rsidRDefault="00F93B58" w:rsidP="00F93B5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9070E">
        <w:rPr>
          <w:rFonts w:ascii="Cambria" w:hAnsi="Cambria"/>
          <w:b/>
          <w:bCs/>
          <w:color w:val="auto"/>
          <w:sz w:val="24"/>
          <w:szCs w:val="24"/>
        </w:rPr>
        <w:t>7.1. Estado de las Relaciones</w:t>
      </w:r>
    </w:p>
    <w:p w14:paraId="2B118223" w14:textId="77777777" w:rsidR="00F93B58" w:rsidRPr="0079070E" w:rsidRDefault="00F93B58" w:rsidP="00F93B58">
      <w:pPr>
        <w:numPr>
          <w:ilvl w:val="1"/>
          <w:numId w:val="23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Marco: Acuerdo de Cooperación de 1989.</w:t>
      </w:r>
    </w:p>
    <w:p w14:paraId="59BA2FC9" w14:textId="77777777" w:rsidR="00F93B58" w:rsidRPr="0079070E" w:rsidRDefault="00F93B58" w:rsidP="00F93B58">
      <w:pPr>
        <w:numPr>
          <w:ilvl w:val="1"/>
          <w:numId w:val="23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TLC: Negociaciones suspendidas desde 2008 debido al desacuerdo sobre las tasas a la exportación de productos petroquímicos aplicadas por el CCG.</w:t>
      </w:r>
    </w:p>
    <w:p w14:paraId="56C81F44" w14:textId="77777777" w:rsidR="00F93B58" w:rsidRPr="0079070E" w:rsidRDefault="00F93B58" w:rsidP="00F93B58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9070E">
        <w:rPr>
          <w:rFonts w:ascii="Cambria" w:hAnsi="Cambria"/>
          <w:b/>
          <w:bCs/>
          <w:color w:val="auto"/>
          <w:sz w:val="28"/>
          <w:szCs w:val="28"/>
        </w:rPr>
        <w:t>8. RELACIONES CON OCEANÍA</w:t>
      </w:r>
    </w:p>
    <w:p w14:paraId="56644719" w14:textId="77777777" w:rsidR="00F93B58" w:rsidRPr="0079070E" w:rsidRDefault="00F93B58" w:rsidP="00F93B5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9070E">
        <w:rPr>
          <w:rFonts w:ascii="Cambria" w:hAnsi="Cambria"/>
          <w:b/>
          <w:bCs/>
          <w:color w:val="auto"/>
          <w:sz w:val="24"/>
          <w:szCs w:val="24"/>
        </w:rPr>
        <w:t>8.1. Australia</w:t>
      </w:r>
    </w:p>
    <w:p w14:paraId="60086A4A" w14:textId="77777777" w:rsidR="00F93B58" w:rsidRPr="0079070E" w:rsidRDefault="00F93B58" w:rsidP="00F93B58">
      <w:pPr>
        <w:numPr>
          <w:ilvl w:val="1"/>
          <w:numId w:val="24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Relaciones basadas en el Acuerdo Marco de 2017.</w:t>
      </w:r>
    </w:p>
    <w:p w14:paraId="3DE27B6A" w14:textId="77777777" w:rsidR="00F93B58" w:rsidRPr="0079070E" w:rsidRDefault="00F93B58" w:rsidP="00F93B58">
      <w:pPr>
        <w:numPr>
          <w:ilvl w:val="1"/>
          <w:numId w:val="24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Las negociaciones para un TLC se iniciaron en 2018 pero no se ha alcanzado acuerdo final, principalmente por diferencias en el acceso al mercado agrícola.</w:t>
      </w:r>
    </w:p>
    <w:p w14:paraId="34A565E1" w14:textId="77777777" w:rsidR="00F93B58" w:rsidRPr="0079070E" w:rsidRDefault="00F93B58" w:rsidP="00F93B5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9070E">
        <w:rPr>
          <w:rFonts w:ascii="Cambria" w:hAnsi="Cambria"/>
          <w:b/>
          <w:bCs/>
          <w:color w:val="auto"/>
          <w:sz w:val="24"/>
          <w:szCs w:val="24"/>
        </w:rPr>
        <w:t>8.2. Nueva Zelanda</w:t>
      </w:r>
    </w:p>
    <w:p w14:paraId="48423072" w14:textId="49374E85" w:rsidR="00F93B58" w:rsidRPr="0079070E" w:rsidRDefault="00F93B58" w:rsidP="00F93B58">
      <w:pPr>
        <w:numPr>
          <w:ilvl w:val="1"/>
          <w:numId w:val="24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Acuerdo de Asociación en vigor desde 2016.</w:t>
      </w:r>
    </w:p>
    <w:p w14:paraId="2E4958BC" w14:textId="77777777" w:rsidR="00F93B58" w:rsidRPr="0079070E" w:rsidRDefault="00F93B58" w:rsidP="00F93B58">
      <w:pPr>
        <w:numPr>
          <w:ilvl w:val="1"/>
          <w:numId w:val="24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El Acuerdo de Libre Comercio entró en vigor el 1 de mayo de 2024, eliminando aranceles y estableciendo fuertes compromisos de sostenibilidad.</w:t>
      </w:r>
    </w:p>
    <w:p w14:paraId="4EDDFD89" w14:textId="5B7C1D0F" w:rsidR="00F93B58" w:rsidRPr="0079070E" w:rsidRDefault="00F93B58" w:rsidP="00F93B5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9070E">
        <w:rPr>
          <w:rFonts w:ascii="Cambria" w:hAnsi="Cambria"/>
          <w:b/>
          <w:bCs/>
          <w:color w:val="auto"/>
          <w:sz w:val="24"/>
          <w:szCs w:val="24"/>
        </w:rPr>
        <w:lastRenderedPageBreak/>
        <w:t>8.3. Pacífico</w:t>
      </w:r>
    </w:p>
    <w:p w14:paraId="3554576C" w14:textId="77777777" w:rsidR="00F93B58" w:rsidRPr="0079070E" w:rsidRDefault="00F93B58" w:rsidP="00F93B58">
      <w:pPr>
        <w:numPr>
          <w:ilvl w:val="1"/>
          <w:numId w:val="24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Se aplican Acuerdos de Asociación Económica (AAE) provisionales con países como Fiyi, Papúa Nueva Guinea, Samoa y las Islas Salomón.</w:t>
      </w:r>
    </w:p>
    <w:p w14:paraId="7FAA9E3A" w14:textId="77777777" w:rsidR="00F93B58" w:rsidRPr="0079070E" w:rsidRDefault="00F93B58" w:rsidP="00F93B58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9070E">
        <w:rPr>
          <w:rFonts w:ascii="Cambria" w:hAnsi="Cambria"/>
          <w:b/>
          <w:bCs/>
          <w:color w:val="auto"/>
          <w:sz w:val="28"/>
          <w:szCs w:val="28"/>
        </w:rPr>
        <w:t>9. RELACIONES CON ASIA CENTRAL</w:t>
      </w:r>
    </w:p>
    <w:p w14:paraId="4F8508A9" w14:textId="77777777" w:rsidR="00F93B58" w:rsidRPr="0079070E" w:rsidRDefault="00F93B58" w:rsidP="00F93B5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9070E">
        <w:rPr>
          <w:rFonts w:ascii="Cambria" w:hAnsi="Cambria"/>
          <w:b/>
          <w:bCs/>
          <w:color w:val="auto"/>
          <w:sz w:val="24"/>
          <w:szCs w:val="24"/>
        </w:rPr>
        <w:t>9.1. Estrategia Regional</w:t>
      </w:r>
    </w:p>
    <w:p w14:paraId="3DAA2352" w14:textId="77777777" w:rsidR="00F93B58" w:rsidRPr="0079070E" w:rsidRDefault="00F93B58" w:rsidP="00F93B58">
      <w:pPr>
        <w:numPr>
          <w:ilvl w:val="1"/>
          <w:numId w:val="25"/>
        </w:numPr>
        <w:jc w:val="both"/>
        <w:rPr>
          <w:rFonts w:ascii="Cambria" w:hAnsi="Cambria"/>
        </w:rPr>
      </w:pPr>
      <w:r w:rsidRPr="0079070E">
        <w:rPr>
          <w:rFonts w:ascii="Cambria" w:hAnsi="Cambria"/>
        </w:rPr>
        <w:t>La estrategia de la UE (actualizada en 2019 y 2024) prioriza derechos humanos, educación, energía, transporte y comercio. La región es clave por sus hidrocarburos y posición geoestratégica.</w:t>
      </w:r>
    </w:p>
    <w:p w14:paraId="4319D828" w14:textId="77777777" w:rsidR="00F93B58" w:rsidRPr="0079070E" w:rsidRDefault="00F93B58" w:rsidP="00F93B5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9070E">
        <w:rPr>
          <w:rFonts w:ascii="Cambria" w:hAnsi="Cambria"/>
          <w:b/>
          <w:bCs/>
          <w:color w:val="auto"/>
          <w:sz w:val="24"/>
          <w:szCs w:val="24"/>
        </w:rPr>
        <w:t>9.2. Situación por Países</w:t>
      </w:r>
    </w:p>
    <w:p w14:paraId="5186486D" w14:textId="77777777" w:rsidR="00F93B58" w:rsidRPr="0079070E" w:rsidRDefault="00F93B58" w:rsidP="00F93B58">
      <w:pPr>
        <w:numPr>
          <w:ilvl w:val="1"/>
          <w:numId w:val="25"/>
        </w:numPr>
        <w:jc w:val="both"/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Kazajstán:</w:t>
      </w:r>
      <w:r w:rsidRPr="0079070E">
        <w:rPr>
          <w:rFonts w:ascii="Cambria" w:hAnsi="Cambria"/>
        </w:rPr>
        <w:t xml:space="preserve"> Acuerdo de Colaboración y Cooperación Reforzado (EPCA) en vigor desde 2020.</w:t>
      </w:r>
    </w:p>
    <w:p w14:paraId="27956BE5" w14:textId="77777777" w:rsidR="00F93B58" w:rsidRPr="0079070E" w:rsidRDefault="00F93B58" w:rsidP="00F93B58">
      <w:pPr>
        <w:numPr>
          <w:ilvl w:val="1"/>
          <w:numId w:val="25"/>
        </w:numPr>
        <w:jc w:val="both"/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Uzbekistán:</w:t>
      </w:r>
      <w:r w:rsidRPr="0079070E">
        <w:rPr>
          <w:rFonts w:ascii="Cambria" w:hAnsi="Cambria"/>
        </w:rPr>
        <w:t xml:space="preserve"> Negociaciones de un acuerdo ampliado concluidas en 2022. Beneficiario del SPG+.</w:t>
      </w:r>
    </w:p>
    <w:p w14:paraId="2A58F20E" w14:textId="77777777" w:rsidR="00F93B58" w:rsidRPr="0079070E" w:rsidRDefault="00F93B58" w:rsidP="00F93B58">
      <w:pPr>
        <w:numPr>
          <w:ilvl w:val="1"/>
          <w:numId w:val="25"/>
        </w:numPr>
        <w:jc w:val="both"/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Kirguistán:</w:t>
      </w:r>
      <w:r w:rsidRPr="0079070E">
        <w:rPr>
          <w:rFonts w:ascii="Cambria" w:hAnsi="Cambria"/>
        </w:rPr>
        <w:t xml:space="preserve"> Acuerdo reforzado rubricado en 2019. Beneficiario del SPG+.</w:t>
      </w:r>
    </w:p>
    <w:p w14:paraId="314ACFF7" w14:textId="77777777" w:rsidR="00F93B58" w:rsidRPr="0079070E" w:rsidRDefault="00F93B58" w:rsidP="00F93B58">
      <w:pPr>
        <w:numPr>
          <w:ilvl w:val="1"/>
          <w:numId w:val="25"/>
        </w:numPr>
        <w:jc w:val="both"/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Tayikistán:</w:t>
      </w:r>
      <w:r w:rsidRPr="0079070E">
        <w:rPr>
          <w:rFonts w:ascii="Cambria" w:hAnsi="Cambria"/>
        </w:rPr>
        <w:t xml:space="preserve"> Negociaciones de acuerdo reforzado iniciadas en 2023. Beneficiario del SPG.</w:t>
      </w:r>
    </w:p>
    <w:p w14:paraId="1E18F825" w14:textId="77777777" w:rsidR="00F93B58" w:rsidRPr="0079070E" w:rsidRDefault="00F93B58" w:rsidP="00F93B58">
      <w:pPr>
        <w:numPr>
          <w:ilvl w:val="1"/>
          <w:numId w:val="25"/>
        </w:numPr>
        <w:jc w:val="both"/>
        <w:rPr>
          <w:rFonts w:ascii="Cambria" w:hAnsi="Cambria"/>
        </w:rPr>
      </w:pPr>
      <w:r w:rsidRPr="0079070E">
        <w:rPr>
          <w:rFonts w:ascii="Cambria" w:hAnsi="Cambria"/>
          <w:b/>
          <w:bCs/>
        </w:rPr>
        <w:t>Turkmenistán:</w:t>
      </w:r>
      <w:r w:rsidRPr="0079070E">
        <w:rPr>
          <w:rFonts w:ascii="Cambria" w:hAnsi="Cambria"/>
        </w:rPr>
        <w:t xml:space="preserve"> Acuerdo Interino comercial en vigor; el acuerdo marco está pendiente de ratificación por la situación de los derechos humanos.</w:t>
      </w:r>
    </w:p>
    <w:p w14:paraId="4484F0CD" w14:textId="77777777" w:rsidR="00D150D0" w:rsidRPr="0079070E" w:rsidRDefault="00D150D0" w:rsidP="00F93B58">
      <w:pPr>
        <w:jc w:val="both"/>
        <w:rPr>
          <w:rFonts w:ascii="Cambria" w:hAnsi="Cambria"/>
        </w:rPr>
      </w:pPr>
    </w:p>
    <w:sectPr w:rsidR="00D150D0" w:rsidRPr="0079070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67176" w14:textId="77777777" w:rsidR="000C51E2" w:rsidRDefault="000C51E2" w:rsidP="000C51E2">
      <w:pPr>
        <w:spacing w:after="0" w:line="240" w:lineRule="auto"/>
      </w:pPr>
      <w:r>
        <w:separator/>
      </w:r>
    </w:p>
  </w:endnote>
  <w:endnote w:type="continuationSeparator" w:id="0">
    <w:p w14:paraId="3995DB2E" w14:textId="77777777" w:rsidR="000C51E2" w:rsidRDefault="000C51E2" w:rsidP="000C5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B97DF" w14:textId="77777777" w:rsidR="000C51E2" w:rsidRDefault="000C51E2" w:rsidP="000C51E2">
      <w:pPr>
        <w:spacing w:after="0" w:line="240" w:lineRule="auto"/>
      </w:pPr>
      <w:r>
        <w:separator/>
      </w:r>
    </w:p>
  </w:footnote>
  <w:footnote w:type="continuationSeparator" w:id="0">
    <w:p w14:paraId="55B61845" w14:textId="77777777" w:rsidR="000C51E2" w:rsidRDefault="000C51E2" w:rsidP="000C5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93FA2" w14:textId="35ECF400" w:rsidR="000C51E2" w:rsidRPr="000C51E2" w:rsidRDefault="000C51E2" w:rsidP="000C51E2">
    <w:pPr>
      <w:pStyle w:val="Encabezado"/>
      <w:jc w:val="both"/>
      <w:rPr>
        <w:rFonts w:ascii="Palatino Linotype" w:hAnsi="Palatino Linotype"/>
        <w:i/>
        <w:iCs/>
      </w:rPr>
    </w:pPr>
    <w:r w:rsidRPr="000C51E2">
      <w:rPr>
        <w:rFonts w:ascii="Palatino Linotype" w:hAnsi="Palatino Linotype"/>
        <w:b/>
        <w:bCs/>
        <w:i/>
        <w:iCs/>
      </w:rPr>
      <w:t>TEMA 58 -</w:t>
    </w:r>
    <w:r w:rsidRPr="000C51E2">
      <w:rPr>
        <w:rFonts w:ascii="Palatino Linotype" w:hAnsi="Palatino Linotype"/>
        <w:i/>
        <w:iCs/>
      </w:rPr>
      <w:t xml:space="preserve"> La política comercial y de relaciones económicas exteriores de la Unión Europea (V): Relaciones con Asia: Corea, India, China, Japón, y otros países asiáticos, en particular los miembros de ASEAN. Relaciones con los países de Asia Central. Relaciones con el Consejo de Cooperación del Golfo. Relaciones con Oceanía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4D0"/>
    <w:multiLevelType w:val="multilevel"/>
    <w:tmpl w:val="354A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67CD"/>
    <w:multiLevelType w:val="multilevel"/>
    <w:tmpl w:val="D110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A4DCE"/>
    <w:multiLevelType w:val="multilevel"/>
    <w:tmpl w:val="1E70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22D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50C2F"/>
    <w:multiLevelType w:val="multilevel"/>
    <w:tmpl w:val="1EAA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1EA5"/>
    <w:multiLevelType w:val="multilevel"/>
    <w:tmpl w:val="CB86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71E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439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C12B5"/>
    <w:multiLevelType w:val="multilevel"/>
    <w:tmpl w:val="DC98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61C91"/>
    <w:multiLevelType w:val="multilevel"/>
    <w:tmpl w:val="59AC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2441F"/>
    <w:multiLevelType w:val="multilevel"/>
    <w:tmpl w:val="1664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A5ACB"/>
    <w:multiLevelType w:val="multilevel"/>
    <w:tmpl w:val="AE22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77610"/>
    <w:multiLevelType w:val="multilevel"/>
    <w:tmpl w:val="1D8C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0276D"/>
    <w:multiLevelType w:val="multilevel"/>
    <w:tmpl w:val="680E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84D7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37FB47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B0D78"/>
    <w:multiLevelType w:val="multilevel"/>
    <w:tmpl w:val="E022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36E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9638C"/>
    <w:multiLevelType w:val="multilevel"/>
    <w:tmpl w:val="80A6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A218B"/>
    <w:multiLevelType w:val="multilevel"/>
    <w:tmpl w:val="ED3C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153ED"/>
    <w:multiLevelType w:val="multilevel"/>
    <w:tmpl w:val="DC3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C68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769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159EB"/>
    <w:multiLevelType w:val="multilevel"/>
    <w:tmpl w:val="966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D4D58"/>
    <w:multiLevelType w:val="multilevel"/>
    <w:tmpl w:val="D9C2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62E04"/>
    <w:multiLevelType w:val="multilevel"/>
    <w:tmpl w:val="20B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5B330D"/>
    <w:multiLevelType w:val="multilevel"/>
    <w:tmpl w:val="5E10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C2B99"/>
    <w:multiLevelType w:val="multilevel"/>
    <w:tmpl w:val="6C48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C629E"/>
    <w:multiLevelType w:val="multilevel"/>
    <w:tmpl w:val="3836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A90988"/>
    <w:multiLevelType w:val="multilevel"/>
    <w:tmpl w:val="AB80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754C3"/>
    <w:multiLevelType w:val="multilevel"/>
    <w:tmpl w:val="FA10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F30FAF"/>
    <w:multiLevelType w:val="multilevel"/>
    <w:tmpl w:val="A75E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20527"/>
    <w:multiLevelType w:val="multilevel"/>
    <w:tmpl w:val="ADE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645560">
    <w:abstractNumId w:val="11"/>
  </w:num>
  <w:num w:numId="2" w16cid:durableId="395082402">
    <w:abstractNumId w:val="31"/>
  </w:num>
  <w:num w:numId="3" w16cid:durableId="946812585">
    <w:abstractNumId w:val="28"/>
  </w:num>
  <w:num w:numId="4" w16cid:durableId="880243821">
    <w:abstractNumId w:val="16"/>
  </w:num>
  <w:num w:numId="5" w16cid:durableId="217592321">
    <w:abstractNumId w:val="19"/>
  </w:num>
  <w:num w:numId="6" w16cid:durableId="1553541802">
    <w:abstractNumId w:val="4"/>
  </w:num>
  <w:num w:numId="7" w16cid:durableId="15353705">
    <w:abstractNumId w:val="30"/>
  </w:num>
  <w:num w:numId="8" w16cid:durableId="87628804">
    <w:abstractNumId w:val="10"/>
  </w:num>
  <w:num w:numId="9" w16cid:durableId="1416584310">
    <w:abstractNumId w:val="27"/>
  </w:num>
  <w:num w:numId="10" w16cid:durableId="1526560137">
    <w:abstractNumId w:val="23"/>
  </w:num>
  <w:num w:numId="11" w16cid:durableId="572472389">
    <w:abstractNumId w:val="24"/>
  </w:num>
  <w:num w:numId="12" w16cid:durableId="453836988">
    <w:abstractNumId w:val="25"/>
  </w:num>
  <w:num w:numId="13" w16cid:durableId="392385660">
    <w:abstractNumId w:val="20"/>
  </w:num>
  <w:num w:numId="14" w16cid:durableId="1888682870">
    <w:abstractNumId w:val="26"/>
  </w:num>
  <w:num w:numId="15" w16cid:durableId="1611014500">
    <w:abstractNumId w:val="32"/>
  </w:num>
  <w:num w:numId="16" w16cid:durableId="676882010">
    <w:abstractNumId w:val="12"/>
  </w:num>
  <w:num w:numId="17" w16cid:durableId="1169446668">
    <w:abstractNumId w:val="5"/>
  </w:num>
  <w:num w:numId="18" w16cid:durableId="359471735">
    <w:abstractNumId w:val="13"/>
  </w:num>
  <w:num w:numId="19" w16cid:durableId="1101410059">
    <w:abstractNumId w:val="2"/>
  </w:num>
  <w:num w:numId="20" w16cid:durableId="1478764152">
    <w:abstractNumId w:val="29"/>
  </w:num>
  <w:num w:numId="21" w16cid:durableId="1629315993">
    <w:abstractNumId w:val="1"/>
  </w:num>
  <w:num w:numId="22" w16cid:durableId="1213156474">
    <w:abstractNumId w:val="9"/>
  </w:num>
  <w:num w:numId="23" w16cid:durableId="847061135">
    <w:abstractNumId w:val="8"/>
  </w:num>
  <w:num w:numId="24" w16cid:durableId="1391417823">
    <w:abstractNumId w:val="18"/>
  </w:num>
  <w:num w:numId="25" w16cid:durableId="1896969357">
    <w:abstractNumId w:val="0"/>
  </w:num>
  <w:num w:numId="26" w16cid:durableId="1045637945">
    <w:abstractNumId w:val="22"/>
  </w:num>
  <w:num w:numId="27" w16cid:durableId="1406294576">
    <w:abstractNumId w:val="3"/>
  </w:num>
  <w:num w:numId="28" w16cid:durableId="693463261">
    <w:abstractNumId w:val="21"/>
  </w:num>
  <w:num w:numId="29" w16cid:durableId="694619598">
    <w:abstractNumId w:val="7"/>
  </w:num>
  <w:num w:numId="30" w16cid:durableId="1232741005">
    <w:abstractNumId w:val="15"/>
  </w:num>
  <w:num w:numId="31" w16cid:durableId="1139036193">
    <w:abstractNumId w:val="14"/>
  </w:num>
  <w:num w:numId="32" w16cid:durableId="1458066682">
    <w:abstractNumId w:val="6"/>
  </w:num>
  <w:num w:numId="33" w16cid:durableId="12290705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1E2"/>
    <w:rsid w:val="000C51E2"/>
    <w:rsid w:val="00106D8F"/>
    <w:rsid w:val="005803BC"/>
    <w:rsid w:val="0079070E"/>
    <w:rsid w:val="00A40D36"/>
    <w:rsid w:val="00A65383"/>
    <w:rsid w:val="00A8675C"/>
    <w:rsid w:val="00B22307"/>
    <w:rsid w:val="00C12CFD"/>
    <w:rsid w:val="00D150D0"/>
    <w:rsid w:val="00F574A7"/>
    <w:rsid w:val="00F93B58"/>
    <w:rsid w:val="00FF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89B12"/>
  <w15:chartTrackingRefBased/>
  <w15:docId w15:val="{D74E7B61-C3E5-4D16-A17D-4DD62894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5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C5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5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5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1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1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1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5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5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1E2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C51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1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51E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C51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51E2"/>
  </w:style>
  <w:style w:type="paragraph" w:styleId="Piedepgina">
    <w:name w:val="footer"/>
    <w:basedOn w:val="Normal"/>
    <w:link w:val="PiedepginaCar"/>
    <w:uiPriority w:val="99"/>
    <w:unhideWhenUsed/>
    <w:rsid w:val="000C51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5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1158</Words>
  <Characters>6373</Characters>
  <Application>Microsoft Office Word</Application>
  <DocSecurity>0</DocSecurity>
  <Lines>53</Lines>
  <Paragraphs>15</Paragraphs>
  <ScaleCrop>false</ScaleCrop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6</cp:revision>
  <dcterms:created xsi:type="dcterms:W3CDTF">2025-12-12T14:29:00Z</dcterms:created>
  <dcterms:modified xsi:type="dcterms:W3CDTF">2026-01-14T14:05:00Z</dcterms:modified>
</cp:coreProperties>
</file>