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Servicios no turísticos: segmento más dinámico y diversificado de la balanza de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&gt;53 %</w:t>
      </w:r>
      <w:r>
        <w:rPr>
          <w:rFonts w:ascii="Cambria" w:hAnsi="Cambria" w:cs="Cambria" w:eastAsia="Cambria"/>
          <w:sz w:val="22"/>
        </w:rPr>
        <w:t xml:space="preserve"> de las exportaciones de servicios. Líderes: empresariales, telecomunicaciones, transporte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Superávit exterior estructural más allá del turismo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Cinco subsectores: empresariales, financieros, telecomunicaciones, transporte, construcción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VISIÓN GENERAL DEL COMERCIO EXTERIOR DE SERVICIOS NO TURÍSTICOS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OMC: servicios </w:t>
      </w:r>
      <w:r>
        <w:rPr>
          <w:rFonts w:ascii="Cambria" w:hAnsi="Cambria" w:cs="Cambria" w:eastAsia="Cambria"/>
          <w:b/>
          <w:sz w:val="22"/>
        </w:rPr>
        <w:t>26,7 %</w:t>
      </w:r>
      <w:r>
        <w:rPr>
          <w:rFonts w:ascii="Cambria" w:hAnsi="Cambria" w:cs="Cambria" w:eastAsia="Cambria"/>
          <w:sz w:val="22"/>
        </w:rPr>
        <w:t xml:space="preserve"> del comercio mundial. </w:t>
      </w:r>
      <w:r>
        <w:rPr>
          <w:rFonts w:ascii="Cambria" w:hAnsi="Cambria" w:cs="Cambria" w:eastAsia="Cambria"/>
          <w:b/>
          <w:sz w:val="22"/>
        </w:rPr>
        <w:t>70 %</w:t>
      </w:r>
      <w:r>
        <w:rPr>
          <w:rFonts w:ascii="Cambria" w:hAnsi="Cambria" w:cs="Cambria" w:eastAsia="Cambria"/>
          <w:sz w:val="22"/>
        </w:rPr>
        <w:t xml:space="preserve"> de la IED va a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factores del auge: cambio estructural al terciario, apertura de mercados e IED, externalización global (offshoring)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2025: top-4 exportadores EEUU, Reino Unido, Alemania y Francia. España en el </w:t>
      </w:r>
      <w:r>
        <w:rPr>
          <w:rFonts w:ascii="Cambria" w:hAnsi="Cambria" w:cs="Cambria" w:eastAsia="Cambria"/>
          <w:b/>
          <w:sz w:val="22"/>
        </w:rPr>
        <w:t>top 10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Exportaciones de servicios no turísticos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Balanza de Pagos 2025: </w:t>
      </w:r>
      <w:r>
        <w:rPr>
          <w:rFonts w:ascii="Cambria" w:hAnsi="Cambria" w:cs="Cambria" w:eastAsia="Cambria"/>
          <w:b/>
          <w:sz w:val="22"/>
        </w:rPr>
        <w:t>120.573 M€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+15,1 %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Otros servicios empresariales: </w:t>
      </w:r>
      <w:r>
        <w:rPr>
          <w:rFonts w:ascii="Cambria" w:hAnsi="Cambria" w:cs="Cambria" w:eastAsia="Cambria"/>
          <w:b/>
          <w:sz w:val="22"/>
        </w:rPr>
        <w:t>46.791 M€</w:t>
      </w:r>
      <w:r>
        <w:rPr>
          <w:rFonts w:ascii="Cambria" w:hAnsi="Cambria" w:cs="Cambria" w:eastAsia="Cambria"/>
          <w:sz w:val="22"/>
        </w:rPr>
        <w:t xml:space="preserve"> (38,8 %, +10,3 %)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Telecomunicaciones e informática: </w:t>
      </w:r>
      <w:r>
        <w:rPr>
          <w:rFonts w:ascii="Cambria" w:hAnsi="Cambria" w:cs="Cambria" w:eastAsia="Cambria"/>
          <w:b/>
          <w:sz w:val="22"/>
        </w:rPr>
        <w:t>23.566 M€</w:t>
      </w:r>
      <w:r>
        <w:rPr>
          <w:rFonts w:ascii="Cambria" w:hAnsi="Cambria" w:cs="Cambria" w:eastAsia="Cambria"/>
          <w:sz w:val="22"/>
        </w:rPr>
        <w:t xml:space="preserve"> (19,5 %, +11,7 %)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Transporte: </w:t>
      </w:r>
      <w:r>
        <w:rPr>
          <w:rFonts w:ascii="Cambria" w:hAnsi="Cambria" w:cs="Cambria" w:eastAsia="Cambria"/>
          <w:b/>
          <w:sz w:val="22"/>
        </w:rPr>
        <w:t>23.179 M€</w:t>
      </w:r>
      <w:r>
        <w:rPr>
          <w:rFonts w:ascii="Cambria" w:hAnsi="Cambria" w:cs="Cambria" w:eastAsia="Cambria"/>
          <w:sz w:val="22"/>
        </w:rPr>
        <w:t xml:space="preserve"> (19,2 %, +27,8 %)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Construcción: 1,0 %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Destinos: Francia 9,7 %, Reino Unido 9,5 %, Alemania 9,1 %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Importaciones de servicios no turísticos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2025: </w:t>
      </w:r>
      <w:r>
        <w:rPr>
          <w:rFonts w:ascii="Cambria" w:hAnsi="Cambria" w:cs="Cambria" w:eastAsia="Cambria"/>
          <w:b/>
          <w:sz w:val="22"/>
        </w:rPr>
        <w:t>77.336 M€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+6,4 %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Otros servicios empresariales: </w:t>
      </w:r>
      <w:r>
        <w:rPr>
          <w:rFonts w:ascii="Cambria" w:hAnsi="Cambria" w:cs="Cambria" w:eastAsia="Cambria"/>
          <w:b/>
          <w:sz w:val="22"/>
        </w:rPr>
        <w:t>33.934 M€</w:t>
      </w:r>
      <w:r>
        <w:rPr>
          <w:rFonts w:ascii="Cambria" w:hAnsi="Cambria" w:cs="Cambria" w:eastAsia="Cambria"/>
          <w:sz w:val="22"/>
        </w:rPr>
        <w:t xml:space="preserve"> (43,9 %, +9,2 %)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Telecomunicaciones e informática: </w:t>
      </w:r>
      <w:r>
        <w:rPr>
          <w:rFonts w:ascii="Cambria" w:hAnsi="Cambria" w:cs="Cambria" w:eastAsia="Cambria"/>
          <w:b/>
          <w:sz w:val="22"/>
        </w:rPr>
        <w:t>11.972 M€</w:t>
      </w:r>
      <w:r>
        <w:rPr>
          <w:rFonts w:ascii="Cambria" w:hAnsi="Cambria" w:cs="Cambria" w:eastAsia="Cambria"/>
          <w:sz w:val="22"/>
        </w:rPr>
        <w:t xml:space="preserve"> (15,4 %, +3,3 %)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Transporte: </w:t>
      </w:r>
      <w:r>
        <w:rPr>
          <w:rFonts w:ascii="Cambria" w:hAnsi="Cambria" w:cs="Cambria" w:eastAsia="Cambria"/>
          <w:b/>
          <w:sz w:val="22"/>
        </w:rPr>
        <w:t>9.852 M€</w:t>
      </w:r>
      <w:r>
        <w:rPr>
          <w:rFonts w:ascii="Cambria" w:hAnsi="Cambria" w:cs="Cambria" w:eastAsia="Cambria"/>
          <w:sz w:val="22"/>
        </w:rPr>
        <w:t xml:space="preserve"> (12,7 %, -18,6 %)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Construcción: 0,7 %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Orígenes: Francia 13,1 %, Alemania 11,5 %, Reino Unido 9,7 %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SERVICIOS EMPRESARIALES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I+D, consultoría, servicios técnicos del comercio, ingeniería, arquitectura, publicidad. Intensivos en conocimiento y digitales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 2022-2025: ingresos </w:t>
      </w:r>
      <w:r>
        <w:rPr>
          <w:rFonts w:ascii="Cambria" w:hAnsi="Cambria" w:cs="Cambria" w:eastAsia="Cambria"/>
          <w:b/>
          <w:sz w:val="22"/>
        </w:rPr>
        <w:t>31.486 a 46.791 M€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+48,6 %</w:t>
      </w:r>
      <w:r>
        <w:rPr>
          <w:rFonts w:ascii="Cambria" w:hAnsi="Cambria" w:cs="Cambria" w:eastAsia="Cambria"/>
          <w:sz w:val="22"/>
        </w:rPr>
        <w:t xml:space="preserve">), pagos </w:t>
      </w:r>
      <w:r>
        <w:rPr>
          <w:rFonts w:ascii="Cambria" w:hAnsi="Cambria" w:cs="Cambria" w:eastAsia="Cambria"/>
          <w:b/>
          <w:sz w:val="22"/>
        </w:rPr>
        <w:t>23.390 a 33.934 M€</w:t>
      </w:r>
      <w:r>
        <w:rPr>
          <w:rFonts w:ascii="Cambria" w:hAnsi="Cambria" w:cs="Cambria" w:eastAsia="Cambria"/>
          <w:sz w:val="22"/>
        </w:rPr>
        <w:t xml:space="preserve"> (+45,1 %). Más capacidad exportadora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Servicios técnicos y otros</w:t>
      </w:r>
      <w:r>
        <w:rPr>
          <w:rFonts w:ascii="Cambria" w:hAnsi="Cambria" w:cs="Cambria" w:eastAsia="Cambria"/>
          <w:sz w:val="22"/>
        </w:rPr>
        <w:t xml:space="preserve"> (unas 2/3): ingresos 19.730 a 29.320 M€ (+48,6 %), pagos +31,4 %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Consultoría profesional y de gestión</w:t>
      </w:r>
      <w:r>
        <w:rPr>
          <w:rFonts w:ascii="Cambria" w:hAnsi="Cambria" w:cs="Cambria" w:eastAsia="Cambria"/>
          <w:sz w:val="22"/>
        </w:rPr>
        <w:t xml:space="preserve"> (la más dinámica): ingresos 9.665 a 14.718 M€ (+52,3 %), pagos +74,6 %. Transformación digital, ciberseguridad, 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I+D</w:t>
      </w:r>
      <w:r>
        <w:rPr>
          <w:rFonts w:ascii="Cambria" w:hAnsi="Cambria" w:cs="Cambria" w:eastAsia="Cambria"/>
          <w:sz w:val="22"/>
        </w:rPr>
        <w:t xml:space="preserve"> (menor peso): ingresos 2.091 a 2.753 M€ (+31,7 %), pagos +65,0 %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Pilar del superávit estructural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SERVICIOS FINANCIEROS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Posición competitiva e innovación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Sector competitivo: digitalización, presencia en Europa y Latinoamérica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Spain Fintech Hub</w:t>
      </w:r>
      <w:r>
        <w:rPr>
          <w:rFonts w:ascii="Cambria" w:hAnsi="Cambria" w:cs="Cambria" w:eastAsia="Cambria"/>
          <w:sz w:val="22"/>
        </w:rPr>
        <w:t xml:space="preserve"> (marzo 2014): IEB, Finnovista, Madrid Financiero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Fintech: de unas 400 (2020) a </w:t>
      </w:r>
      <w:r>
        <w:rPr>
          <w:rFonts w:ascii="Cambria" w:hAnsi="Cambria" w:cs="Cambria" w:eastAsia="Cambria"/>
          <w:b/>
          <w:sz w:val="22"/>
        </w:rPr>
        <w:t>900-1.000</w:t>
      </w:r>
      <w:r>
        <w:rPr>
          <w:rFonts w:ascii="Cambria" w:hAnsi="Cambria" w:cs="Cambria" w:eastAsia="Cambria"/>
          <w:sz w:val="22"/>
        </w:rPr>
        <w:t>. Sexta del mundo, tercera de Europa. Madrid y Barcelona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Marco: </w:t>
      </w:r>
      <w:r>
        <w:rPr>
          <w:rFonts w:ascii="Cambria" w:hAnsi="Cambria" w:cs="Cambria" w:eastAsia="Cambria"/>
          <w:b/>
          <w:sz w:val="22"/>
        </w:rPr>
        <w:t>Directiva PSD2</w:t>
      </w:r>
      <w:r>
        <w:rPr>
          <w:rFonts w:ascii="Cambria" w:hAnsi="Cambria" w:cs="Cambria" w:eastAsia="Cambria"/>
          <w:sz w:val="22"/>
        </w:rPr>
        <w:t xml:space="preserve"> (banca abierta), </w:t>
      </w:r>
      <w:r>
        <w:rPr>
          <w:rFonts w:ascii="Cambria" w:hAnsi="Cambria" w:cs="Cambria" w:eastAsia="Cambria"/>
          <w:b/>
          <w:sz w:val="22"/>
        </w:rPr>
        <w:t>euro digital</w:t>
      </w:r>
      <w:r>
        <w:rPr>
          <w:rFonts w:ascii="Cambria" w:hAnsi="Cambria" w:cs="Cambria" w:eastAsia="Cambria"/>
          <w:sz w:val="22"/>
        </w:rPr>
        <w:t xml:space="preserve"> del BCE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Exportaciones: </w:t>
      </w:r>
      <w:r>
        <w:rPr>
          <w:rFonts w:ascii="Cambria" w:hAnsi="Cambria" w:cs="Cambria" w:eastAsia="Cambria"/>
          <w:b/>
          <w:sz w:val="22"/>
        </w:rPr>
        <w:t>4.083 M€</w:t>
      </w:r>
      <w:r>
        <w:rPr>
          <w:rFonts w:ascii="Cambria" w:hAnsi="Cambria" w:cs="Cambria" w:eastAsia="Cambria"/>
          <w:sz w:val="22"/>
        </w:rPr>
        <w:t xml:space="preserve"> (2022) a </w:t>
      </w:r>
      <w:r>
        <w:rPr>
          <w:rFonts w:ascii="Cambria" w:hAnsi="Cambria" w:cs="Cambria" w:eastAsia="Cambria"/>
          <w:b/>
          <w:sz w:val="22"/>
        </w:rPr>
        <w:t>6.717 M€</w:t>
      </w:r>
      <w:r>
        <w:rPr>
          <w:rFonts w:ascii="Cambria" w:hAnsi="Cambria" w:cs="Cambria" w:eastAsia="Cambria"/>
          <w:sz w:val="22"/>
        </w:rPr>
        <w:t xml:space="preserve"> (2024), superávit máximo </w:t>
      </w:r>
      <w:r>
        <w:rPr>
          <w:rFonts w:ascii="Cambria" w:hAnsi="Cambria" w:cs="Cambria" w:eastAsia="Cambria"/>
          <w:b/>
          <w:sz w:val="22"/>
        </w:rPr>
        <w:t>4.792 M€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2025: ingresos </w:t>
      </w:r>
      <w:r>
        <w:rPr>
          <w:rFonts w:ascii="Cambria" w:hAnsi="Cambria" w:cs="Cambria" w:eastAsia="Cambria"/>
          <w:b/>
          <w:sz w:val="22"/>
        </w:rPr>
        <w:t>6.109 M€</w:t>
      </w:r>
      <w:r>
        <w:rPr>
          <w:rFonts w:ascii="Cambria" w:hAnsi="Cambria" w:cs="Cambria" w:eastAsia="Cambria"/>
          <w:sz w:val="22"/>
        </w:rPr>
        <w:t xml:space="preserve">, pagos </w:t>
      </w:r>
      <w:r>
        <w:rPr>
          <w:rFonts w:ascii="Cambria" w:hAnsi="Cambria" w:cs="Cambria" w:eastAsia="Cambria"/>
          <w:b/>
          <w:sz w:val="22"/>
        </w:rPr>
        <w:t>2.755 M€</w:t>
      </w:r>
      <w:r>
        <w:rPr>
          <w:rFonts w:ascii="Cambria" w:hAnsi="Cambria" w:cs="Cambria" w:eastAsia="Cambria"/>
          <w:sz w:val="22"/>
        </w:rPr>
        <w:t xml:space="preserve">, saldo </w:t>
      </w:r>
      <w:r>
        <w:rPr>
          <w:rFonts w:ascii="Cambria" w:hAnsi="Cambria" w:cs="Cambria" w:eastAsia="Cambria"/>
          <w:b/>
          <w:sz w:val="22"/>
        </w:rPr>
        <w:t>3.354 M€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Restructuración del sistema bancario español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Crisis 2008: prima de riesgo &gt;600 pb (2012), asistencia del Eurogrupo hasta </w:t>
      </w:r>
      <w:r>
        <w:rPr>
          <w:rFonts w:ascii="Cambria" w:hAnsi="Cambria" w:cs="Cambria" w:eastAsia="Cambria"/>
          <w:b/>
          <w:sz w:val="22"/>
        </w:rPr>
        <w:t>100.000 M€</w:t>
      </w:r>
      <w:r>
        <w:rPr>
          <w:rFonts w:ascii="Cambria" w:hAnsi="Cambria" w:cs="Cambria" w:eastAsia="Cambria"/>
          <w:sz w:val="22"/>
        </w:rPr>
        <w:t xml:space="preserve"> vía </w:t>
      </w:r>
      <w:r>
        <w:rPr>
          <w:rFonts w:ascii="Cambria" w:hAnsi="Cambria" w:cs="Cambria" w:eastAsia="Cambria"/>
          <w:b/>
          <w:sz w:val="22"/>
        </w:rPr>
        <w:t>FROB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Concentración: fin de las cajas. Popular (2017) a Santander, Bankia en CaixaBank (2021)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Hoy: Santander, BBVA, CaixaBank, luego Sabadell, Unicaja, Kutxabank, Abanca, Ibercaja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Retos: bajada de tipos desde 2025, fintech, ciberseguridad, </w:t>
      </w:r>
      <w:r>
        <w:rPr>
          <w:rFonts w:ascii="Cambria" w:hAnsi="Cambria" w:cs="Cambria" w:eastAsia="Cambria"/>
          <w:b/>
          <w:sz w:val="22"/>
        </w:rPr>
        <w:t>DORA</w:t>
      </w:r>
      <w:r>
        <w:rPr>
          <w:rFonts w:ascii="Cambria" w:hAnsi="Cambria" w:cs="Cambria" w:eastAsia="Cambria"/>
          <w:sz w:val="22"/>
        </w:rPr>
        <w:t>, sostenibilidad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Supervisión y pruebas de resistencia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MUS</w:t>
      </w:r>
      <w:r>
        <w:rPr>
          <w:rFonts w:ascii="Cambria" w:hAnsi="Cambria" w:cs="Cambria" w:eastAsia="Cambria"/>
          <w:sz w:val="22"/>
        </w:rPr>
        <w:t xml:space="preserve"> (en el BCE) supervisa. </w:t>
      </w:r>
      <w:r>
        <w:rPr>
          <w:rFonts w:ascii="Cambria" w:hAnsi="Cambria" w:cs="Cambria" w:eastAsia="Cambria"/>
          <w:b/>
          <w:sz w:val="22"/>
        </w:rPr>
        <w:t>EBA</w:t>
      </w:r>
      <w:r>
        <w:rPr>
          <w:rFonts w:ascii="Cambria" w:hAnsi="Cambria" w:cs="Cambria" w:eastAsia="Cambria"/>
          <w:sz w:val="22"/>
        </w:rPr>
        <w:t xml:space="preserve"> coordina los stress tests, con solvencia sobre mínimos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Pendiente </w:t>
      </w:r>
      <w:r>
        <w:rPr>
          <w:rFonts w:ascii="Cambria" w:hAnsi="Cambria" w:cs="Cambria" w:eastAsia="Cambria"/>
          <w:b/>
          <w:sz w:val="22"/>
        </w:rPr>
        <w:t>EDIS</w:t>
      </w:r>
      <w:r>
        <w:rPr>
          <w:rFonts w:ascii="Cambria" w:hAnsi="Cambria" w:cs="Cambria" w:eastAsia="Cambria"/>
          <w:sz w:val="22"/>
        </w:rPr>
        <w:t>, tercer pilar de la Unión Bancaria. Ya operan MUS y Mecanismo Único de Resolución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SECTOR DE LAS TELECOMUNICACIONES E INFORMÁTICOS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Supervisor </w:t>
      </w:r>
      <w:r>
        <w:rPr>
          <w:rFonts w:ascii="Cambria" w:hAnsi="Cambria" w:cs="Cambria" w:eastAsia="Cambria"/>
          <w:b/>
          <w:sz w:val="22"/>
        </w:rPr>
        <w:t>CNMC</w:t>
      </w:r>
      <w:r>
        <w:rPr>
          <w:rFonts w:ascii="Cambria" w:hAnsi="Cambria" w:cs="Cambria" w:eastAsia="Cambria"/>
          <w:sz w:val="22"/>
        </w:rPr>
        <w:t xml:space="preserve">, coordinado por </w:t>
      </w:r>
      <w:r>
        <w:rPr>
          <w:rFonts w:ascii="Cambria" w:hAnsi="Cambria" w:cs="Cambria" w:eastAsia="Cambria"/>
          <w:b/>
          <w:sz w:val="22"/>
        </w:rPr>
        <w:t>ORECE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Informe CNMC 2025: ingresos minoristas </w:t>
      </w:r>
      <w:r>
        <w:rPr>
          <w:rFonts w:ascii="Cambria" w:hAnsi="Cambria" w:cs="Cambria" w:eastAsia="Cambria"/>
          <w:b/>
          <w:sz w:val="22"/>
        </w:rPr>
        <w:t>24.698,53 M€</w:t>
      </w:r>
      <w:r>
        <w:rPr>
          <w:rFonts w:ascii="Cambria" w:hAnsi="Cambria" w:cs="Cambria" w:eastAsia="Cambria"/>
          <w:sz w:val="22"/>
        </w:rPr>
        <w:t xml:space="preserve"> (+2,2 %), mayoristas +5,6 %. Inversión </w:t>
      </w:r>
      <w:r>
        <w:rPr>
          <w:rFonts w:ascii="Cambria" w:hAnsi="Cambria" w:cs="Cambria" w:eastAsia="Cambria"/>
          <w:b/>
          <w:sz w:val="22"/>
        </w:rPr>
        <w:t>6.073,8 M€</w:t>
      </w:r>
      <w:r>
        <w:rPr>
          <w:rFonts w:ascii="Cambria" w:hAnsi="Cambria" w:cs="Cambria" w:eastAsia="Cambria"/>
          <w:sz w:val="22"/>
        </w:rPr>
        <w:t xml:space="preserve">. Empleo </w:t>
      </w:r>
      <w:r>
        <w:rPr>
          <w:rFonts w:ascii="Cambria" w:hAnsi="Cambria" w:cs="Cambria" w:eastAsia="Cambria"/>
          <w:b/>
          <w:sz w:val="22"/>
        </w:rPr>
        <w:t>63.207</w:t>
      </w:r>
      <w:r>
        <w:rPr>
          <w:rFonts w:ascii="Cambria" w:hAnsi="Cambria" w:cs="Cambria" w:eastAsia="Cambria"/>
          <w:sz w:val="22"/>
        </w:rPr>
        <w:t xml:space="preserve"> (+3,3 %)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MASORANGE</w:t>
      </w:r>
      <w:r>
        <w:rPr>
          <w:rFonts w:ascii="Cambria" w:hAnsi="Cambria" w:cs="Cambria" w:eastAsia="Cambria"/>
          <w:sz w:val="22"/>
        </w:rPr>
        <w:t xml:space="preserve"> (Orange + MASMÓVIL, 2024): 2.º con </w:t>
      </w:r>
      <w:r>
        <w:rPr>
          <w:rFonts w:ascii="Cambria" w:hAnsi="Cambria" w:cs="Cambria" w:eastAsia="Cambria"/>
          <w:b/>
          <w:sz w:val="22"/>
        </w:rPr>
        <w:t>26,4 %</w:t>
      </w:r>
      <w:r>
        <w:rPr>
          <w:rFonts w:ascii="Cambria" w:hAnsi="Cambria" w:cs="Cambria" w:eastAsia="Cambria"/>
          <w:sz w:val="22"/>
        </w:rPr>
        <w:t xml:space="preserve">. Tres grandes: </w:t>
      </w:r>
      <w:r>
        <w:rPr>
          <w:rFonts w:ascii="Cambria" w:hAnsi="Cambria" w:cs="Cambria" w:eastAsia="Cambria"/>
          <w:b/>
          <w:sz w:val="22"/>
        </w:rPr>
        <w:t>74,2 %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DIGI</w:t>
      </w:r>
      <w:r>
        <w:rPr>
          <w:rFonts w:ascii="Cambria" w:hAnsi="Cambria" w:cs="Cambria" w:eastAsia="Cambria"/>
          <w:sz w:val="22"/>
        </w:rPr>
        <w:t xml:space="preserve"> 3,5 % (+17,5 %). Fusión aprobada con compromisos estructurales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Apagado del cobre</w:t>
      </w:r>
      <w:r>
        <w:rPr>
          <w:rFonts w:ascii="Cambria" w:hAnsi="Cambria" w:cs="Cambria" w:eastAsia="Cambria"/>
          <w:sz w:val="22"/>
        </w:rPr>
        <w:t>: mayo 2025, primer país de la UE. Tercero del mundo en fibra, tras Corea del Sur e Islandia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Comunicaciones fijas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Telefonía fija: </w:t>
      </w:r>
      <w:r>
        <w:rPr>
          <w:rFonts w:ascii="Cambria" w:hAnsi="Cambria" w:cs="Cambria" w:eastAsia="Cambria"/>
          <w:b/>
          <w:sz w:val="22"/>
        </w:rPr>
        <w:t>1.524,58 M€</w:t>
      </w:r>
      <w:r>
        <w:rPr>
          <w:rFonts w:ascii="Cambria" w:hAnsi="Cambria" w:cs="Cambria" w:eastAsia="Cambria"/>
          <w:sz w:val="22"/>
        </w:rPr>
        <w:t xml:space="preserve"> (-8,5 %), 37 líneas por 100 habitantes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Banda ancha fija: </w:t>
      </w:r>
      <w:r>
        <w:rPr>
          <w:rFonts w:ascii="Cambria" w:hAnsi="Cambria" w:cs="Cambria" w:eastAsia="Cambria"/>
          <w:b/>
          <w:sz w:val="22"/>
        </w:rPr>
        <w:t>4.382,43 M€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19,9 millones</w:t>
      </w:r>
      <w:r>
        <w:rPr>
          <w:rFonts w:ascii="Cambria" w:hAnsi="Cambria" w:cs="Cambria" w:eastAsia="Cambria"/>
          <w:sz w:val="22"/>
        </w:rPr>
        <w:t xml:space="preserve"> de accesos, fibra &gt;90 %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Empaquetado: 83,4 % telefonía, 91,2 % banda ancha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Comunicaciones móviles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64,2 millones</w:t>
      </w:r>
      <w:r>
        <w:rPr>
          <w:rFonts w:ascii="Cambria" w:hAnsi="Cambria" w:cs="Cambria" w:eastAsia="Cambria"/>
          <w:sz w:val="22"/>
        </w:rPr>
        <w:t xml:space="preserve"> de líneas, 130,7 por 100 habitantes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Telefonía móvil: </w:t>
      </w:r>
      <w:r>
        <w:rPr>
          <w:rFonts w:ascii="Cambria" w:hAnsi="Cambria" w:cs="Cambria" w:eastAsia="Cambria"/>
          <w:b/>
          <w:sz w:val="22"/>
        </w:rPr>
        <w:t>3.241,13 M€</w:t>
      </w:r>
      <w:r>
        <w:rPr>
          <w:rFonts w:ascii="Cambria" w:hAnsi="Cambria" w:cs="Cambria" w:eastAsia="Cambria"/>
          <w:sz w:val="22"/>
        </w:rPr>
        <w:t xml:space="preserve"> (-1,7 %). Banda ancha móvil: </w:t>
      </w:r>
      <w:r>
        <w:rPr>
          <w:rFonts w:ascii="Cambria" w:hAnsi="Cambria" w:cs="Cambria" w:eastAsia="Cambria"/>
          <w:b/>
          <w:sz w:val="22"/>
        </w:rPr>
        <w:t>4.642,74 M€</w:t>
      </w:r>
      <w:r>
        <w:rPr>
          <w:rFonts w:ascii="Cambria" w:hAnsi="Cambria" w:cs="Cambria" w:eastAsia="Cambria"/>
          <w:sz w:val="22"/>
        </w:rPr>
        <w:t xml:space="preserve"> (-2,2 %)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5G</w:t>
      </w:r>
      <w:r>
        <w:rPr>
          <w:rFonts w:ascii="Cambria" w:hAnsi="Cambria" w:cs="Cambria" w:eastAsia="Cambria"/>
          <w:sz w:val="22"/>
        </w:rPr>
        <w:t>: más de 24,8 millones de líneas. 4G: 78,8 % de los datos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Servicios audiovisuales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Ingresos </w:t>
      </w:r>
      <w:r>
        <w:rPr>
          <w:rFonts w:ascii="Cambria" w:hAnsi="Cambria" w:cs="Cambria" w:eastAsia="Cambria"/>
          <w:b/>
          <w:sz w:val="22"/>
        </w:rPr>
        <w:t>5.365,54 M€</w:t>
      </w:r>
      <w:r>
        <w:rPr>
          <w:rFonts w:ascii="Cambria" w:hAnsi="Cambria" w:cs="Cambria" w:eastAsia="Cambria"/>
          <w:sz w:val="22"/>
        </w:rPr>
        <w:t xml:space="preserve"> (+4,4 %)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TV de pago </w:t>
      </w:r>
      <w:r>
        <w:rPr>
          <w:rFonts w:ascii="Cambria" w:hAnsi="Cambria" w:cs="Cambria" w:eastAsia="Cambria"/>
          <w:b/>
          <w:sz w:val="22"/>
        </w:rPr>
        <w:t>3.509,9 M€</w:t>
      </w:r>
      <w:r>
        <w:rPr>
          <w:rFonts w:ascii="Cambria" w:hAnsi="Cambria" w:cs="Cambria" w:eastAsia="Cambria"/>
          <w:sz w:val="22"/>
        </w:rPr>
        <w:t xml:space="preserve"> (+10,3 %), OTT </w:t>
      </w:r>
      <w:r>
        <w:rPr>
          <w:rFonts w:ascii="Cambria" w:hAnsi="Cambria" w:cs="Cambria" w:eastAsia="Cambria"/>
          <w:b/>
          <w:sz w:val="22"/>
        </w:rPr>
        <w:t>2.362,9 M€</w:t>
      </w:r>
      <w:r>
        <w:rPr>
          <w:rFonts w:ascii="Cambria" w:hAnsi="Cambria" w:cs="Cambria" w:eastAsia="Cambria"/>
          <w:sz w:val="22"/>
        </w:rPr>
        <w:t xml:space="preserve"> (+17,3 %)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TV en abierto </w:t>
      </w:r>
      <w:r>
        <w:rPr>
          <w:rFonts w:ascii="Cambria" w:hAnsi="Cambria" w:cs="Cambria" w:eastAsia="Cambria"/>
          <w:b/>
          <w:sz w:val="22"/>
        </w:rPr>
        <w:t>1.441 M€</w:t>
      </w:r>
      <w:r>
        <w:rPr>
          <w:rFonts w:ascii="Cambria" w:hAnsi="Cambria" w:cs="Cambria" w:eastAsia="Cambria"/>
          <w:sz w:val="22"/>
        </w:rPr>
        <w:t xml:space="preserve"> (-7,2 %). Radio </w:t>
      </w:r>
      <w:r>
        <w:rPr>
          <w:rFonts w:ascii="Cambria" w:hAnsi="Cambria" w:cs="Cambria" w:eastAsia="Cambria"/>
          <w:b/>
          <w:sz w:val="22"/>
        </w:rPr>
        <w:t>414,6 M€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Suscripciones de pago: </w:t>
      </w:r>
      <w:r>
        <w:rPr>
          <w:rFonts w:ascii="Cambria" w:hAnsi="Cambria" w:cs="Cambria" w:eastAsia="Cambria"/>
          <w:b/>
          <w:sz w:val="22"/>
        </w:rPr>
        <w:t>37,9 millones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5.4. Servicios informáticos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Componente más dinámico de la rúbrica: software, consultoría TI, datos, nube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Exportaciones TIC </w:t>
      </w:r>
      <w:r>
        <w:rPr>
          <w:rFonts w:ascii="Cambria" w:hAnsi="Cambria" w:cs="Cambria" w:eastAsia="Cambria"/>
          <w:b/>
          <w:sz w:val="22"/>
        </w:rPr>
        <w:t>23.541 M€</w:t>
      </w:r>
      <w:r>
        <w:rPr>
          <w:rFonts w:ascii="Cambria" w:hAnsi="Cambria" w:cs="Cambria" w:eastAsia="Cambria"/>
          <w:sz w:val="22"/>
        </w:rPr>
        <w:t xml:space="preserve"> (2025) frente a 20.370 M€. Crecimiento anual </w:t>
      </w:r>
      <w:r>
        <w:rPr>
          <w:rFonts w:ascii="Cambria" w:hAnsi="Cambria" w:cs="Cambria" w:eastAsia="Cambria"/>
          <w:b/>
          <w:sz w:val="22"/>
        </w:rPr>
        <w:t>&gt;9 %</w:t>
      </w:r>
      <w:r>
        <w:rPr>
          <w:rFonts w:ascii="Cambria" w:hAnsi="Cambria" w:cs="Cambria" w:eastAsia="Cambria"/>
          <w:sz w:val="22"/>
        </w:rPr>
        <w:t xml:space="preserve"> desde la pandemia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Causas: servicios digitales transfronterizos (</w:t>
      </w:r>
      <w:r>
        <w:rPr>
          <w:rFonts w:ascii="Cambria" w:hAnsi="Cambria" w:cs="Cambria" w:eastAsia="Cambria"/>
          <w:b/>
          <w:sz w:val="22"/>
        </w:rPr>
        <w:t>Modo 1 GATS</w:t>
      </w:r>
      <w:r>
        <w:rPr>
          <w:rFonts w:ascii="Cambria" w:hAnsi="Cambria" w:cs="Cambria" w:eastAsia="Cambria"/>
          <w:sz w:val="22"/>
        </w:rPr>
        <w:t xml:space="preserve">), teletrabajo, </w:t>
      </w:r>
      <w:r>
        <w:rPr>
          <w:rFonts w:ascii="Cambria" w:hAnsi="Cambria" w:cs="Cambria" w:eastAsia="Cambria"/>
          <w:b/>
          <w:sz w:val="22"/>
        </w:rPr>
        <w:t>nearshoring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Amadeus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Marco: </w:t>
      </w:r>
      <w:r>
        <w:rPr>
          <w:rFonts w:ascii="Cambria" w:hAnsi="Cambria" w:cs="Cambria" w:eastAsia="Cambria"/>
          <w:b/>
          <w:sz w:val="22"/>
        </w:rPr>
        <w:t>Programa Europa Digital 2021-2027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Agenda España Digital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SECTOR DEL TRANSPORTE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Tercera rúbrica exportadora (</w:t>
      </w:r>
      <w:r>
        <w:rPr>
          <w:rFonts w:ascii="Cambria" w:hAnsi="Cambria" w:cs="Cambria" w:eastAsia="Cambria"/>
          <w:b/>
          <w:sz w:val="22"/>
        </w:rPr>
        <w:t>19,2 %</w:t>
      </w:r>
      <w:r>
        <w:rPr>
          <w:rFonts w:ascii="Cambria" w:hAnsi="Cambria" w:cs="Cambria" w:eastAsia="Cambria"/>
          <w:sz w:val="22"/>
        </w:rPr>
        <w:t xml:space="preserve">), </w:t>
      </w:r>
      <w:r>
        <w:rPr>
          <w:rFonts w:ascii="Cambria" w:hAnsi="Cambria" w:cs="Cambria" w:eastAsia="Cambria"/>
          <w:b/>
          <w:sz w:val="22"/>
        </w:rPr>
        <w:t>+27,8 %</w:t>
      </w:r>
      <w:r>
        <w:rPr>
          <w:rFonts w:ascii="Cambria" w:hAnsi="Cambria" w:cs="Cambria" w:eastAsia="Cambria"/>
          <w:sz w:val="22"/>
        </w:rPr>
        <w:t>, el mayor crecimiento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Desequilibrio modal: congestión en carretera y aire, alternativas ferrocarril y marítimo de corta distancia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Tipos de transporte de mercancías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Unimodal</w:t>
      </w:r>
      <w:r>
        <w:rPr>
          <w:rFonts w:ascii="Cambria" w:hAnsi="Cambria" w:cs="Cambria" w:eastAsia="Cambria"/>
          <w:sz w:val="22"/>
        </w:rPr>
        <w:t>: un modo, un documento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Intermodal</w:t>
      </w:r>
      <w:r>
        <w:rPr>
          <w:rFonts w:ascii="Cambria" w:hAnsi="Cambria" w:cs="Cambria" w:eastAsia="Cambria"/>
          <w:sz w:val="22"/>
        </w:rPr>
        <w:t>: varios modos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Segmentado</w:t>
      </w:r>
      <w:r>
        <w:rPr>
          <w:rFonts w:ascii="Cambria" w:hAnsi="Cambria" w:cs="Cambria" w:eastAsia="Cambria"/>
          <w:sz w:val="22"/>
        </w:rPr>
        <w:t>: documentos por modo, en desaparición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Combinado</w:t>
      </w:r>
      <w:r>
        <w:rPr>
          <w:rFonts w:ascii="Cambria" w:hAnsi="Cambria" w:cs="Cambria" w:eastAsia="Cambria"/>
          <w:sz w:val="22"/>
        </w:rPr>
        <w:t xml:space="preserve">: mismo vehículo, varios modos. </w:t>
      </w:r>
      <w:r>
        <w:rPr>
          <w:rFonts w:ascii="Cambria" w:hAnsi="Cambria" w:cs="Cambria" w:eastAsia="Cambria"/>
          <w:b/>
          <w:sz w:val="22"/>
        </w:rPr>
        <w:t>OTC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Multimodal</w:t>
      </w:r>
      <w:r>
        <w:rPr>
          <w:rFonts w:ascii="Cambria" w:hAnsi="Cambria" w:cs="Cambria" w:eastAsia="Cambria"/>
          <w:sz w:val="22"/>
        </w:rPr>
        <w:t xml:space="preserve">: un contrato con </w:t>
      </w:r>
      <w:r>
        <w:rPr>
          <w:rFonts w:ascii="Cambria" w:hAnsi="Cambria" w:cs="Cambria" w:eastAsia="Cambria"/>
          <w:b/>
          <w:sz w:val="22"/>
        </w:rPr>
        <w:t>OTM/MTO</w:t>
      </w:r>
      <w:r>
        <w:rPr>
          <w:rFonts w:ascii="Cambria" w:hAnsi="Cambria" w:cs="Cambria" w:eastAsia="Cambria"/>
          <w:sz w:val="22"/>
        </w:rPr>
        <w:t xml:space="preserve">, responsable de toda la cadena. </w:t>
      </w:r>
      <w:r>
        <w:rPr>
          <w:rFonts w:ascii="Cambria" w:hAnsi="Cambria" w:cs="Cambria" w:eastAsia="Cambria"/>
          <w:b/>
          <w:sz w:val="22"/>
        </w:rPr>
        <w:t>UTI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6.2. Transporte por carretera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UE: </w:t>
      </w:r>
      <w:r>
        <w:rPr>
          <w:rFonts w:ascii="Cambria" w:hAnsi="Cambria" w:cs="Cambria" w:eastAsia="Cambria"/>
          <w:b/>
          <w:sz w:val="22"/>
        </w:rPr>
        <w:t>44 %</w:t>
      </w:r>
      <w:r>
        <w:rPr>
          <w:rFonts w:ascii="Cambria" w:hAnsi="Cambria" w:cs="Cambria" w:eastAsia="Cambria"/>
          <w:sz w:val="22"/>
        </w:rPr>
        <w:t xml:space="preserve"> de mercancías y </w:t>
      </w:r>
      <w:r>
        <w:rPr>
          <w:rFonts w:ascii="Cambria" w:hAnsi="Cambria" w:cs="Cambria" w:eastAsia="Cambria"/>
          <w:b/>
          <w:sz w:val="22"/>
        </w:rPr>
        <w:t>85 %</w:t>
      </w:r>
      <w:r>
        <w:rPr>
          <w:rFonts w:ascii="Cambria" w:hAnsi="Cambria" w:cs="Cambria" w:eastAsia="Cambria"/>
          <w:sz w:val="22"/>
        </w:rPr>
        <w:t xml:space="preserve"> de viajeros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LOTT</w:t>
      </w:r>
      <w:r>
        <w:rPr>
          <w:rFonts w:ascii="Cambria" w:hAnsi="Cambria" w:cs="Cambria" w:eastAsia="Cambria"/>
          <w:sz w:val="22"/>
        </w:rPr>
        <w:t xml:space="preserve"> (Ley 16/1987) y </w:t>
      </w:r>
      <w:r>
        <w:rPr>
          <w:rFonts w:ascii="Cambria" w:hAnsi="Cambria" w:cs="Cambria" w:eastAsia="Cambria"/>
          <w:b/>
          <w:sz w:val="22"/>
        </w:rPr>
        <w:t>ROTT</w:t>
      </w:r>
      <w:r>
        <w:rPr>
          <w:rFonts w:ascii="Cambria" w:hAnsi="Cambria" w:cs="Cambria" w:eastAsia="Cambria"/>
          <w:sz w:val="22"/>
        </w:rPr>
        <w:t xml:space="preserve"> (RD 1211/1990). Ligero: &lt;6 t de PMA o hasta 3,5 t de carga. Pesado: más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Autorización internacional, cuatro tipos: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Multilaterales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Licencia Comunitaria</w:t>
      </w:r>
      <w:r>
        <w:rPr>
          <w:rFonts w:ascii="Cambria" w:hAnsi="Cambria" w:cs="Cambria" w:eastAsia="Cambria"/>
          <w:sz w:val="22"/>
        </w:rPr>
        <w:t>: entre Estados miembros y cabotaje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CEMT</w:t>
      </w:r>
      <w:r>
        <w:rPr>
          <w:rFonts w:ascii="Cambria" w:hAnsi="Cambria" w:cs="Cambria" w:eastAsia="Cambria"/>
          <w:sz w:val="22"/>
        </w:rPr>
        <w:t>: un año, máximo 6 semanas sin regresar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Bilaterales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1072/2009</w:t>
      </w:r>
      <w:r>
        <w:rPr>
          <w:rFonts w:ascii="Cambria" w:hAnsi="Cambria" w:cs="Cambria" w:eastAsia="Cambria"/>
          <w:sz w:val="22"/>
        </w:rPr>
        <w:t xml:space="preserve">: mercancías. </w:t>
      </w:r>
      <w:r>
        <w:rPr>
          <w:rFonts w:ascii="Cambria" w:hAnsi="Cambria" w:cs="Cambria" w:eastAsia="Cambria"/>
          <w:b/>
          <w:sz w:val="22"/>
        </w:rPr>
        <w:t>Reglamento (CE) 1073/2009</w:t>
      </w:r>
      <w:r>
        <w:rPr>
          <w:rFonts w:ascii="Cambria" w:hAnsi="Cambria" w:cs="Cambria" w:eastAsia="Cambria"/>
          <w:sz w:val="22"/>
        </w:rPr>
        <w:t>: autocares y autobuses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6.3. Transporte aéreo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AENA 2025: </w:t>
      </w:r>
      <w:r>
        <w:rPr>
          <w:rFonts w:ascii="Cambria" w:hAnsi="Cambria" w:cs="Cambria" w:eastAsia="Cambria"/>
          <w:b/>
          <w:sz w:val="22"/>
        </w:rPr>
        <w:t>321,6 millones</w:t>
      </w:r>
      <w:r>
        <w:rPr>
          <w:rFonts w:ascii="Cambria" w:hAnsi="Cambria" w:cs="Cambria" w:eastAsia="Cambria"/>
          <w:sz w:val="22"/>
        </w:rPr>
        <w:t xml:space="preserve"> de pasajeros (+3,9 %), frente a 275,4 de 2019. Mercancías </w:t>
      </w:r>
      <w:r>
        <w:rPr>
          <w:rFonts w:ascii="Cambria" w:hAnsi="Cambria" w:cs="Cambria" w:eastAsia="Cambria"/>
          <w:b/>
          <w:sz w:val="22"/>
        </w:rPr>
        <w:t>1,37 millones 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Barajas </w:t>
      </w:r>
      <w:r>
        <w:rPr>
          <w:rFonts w:ascii="Cambria" w:hAnsi="Cambria" w:cs="Cambria" w:eastAsia="Cambria"/>
          <w:b/>
          <w:sz w:val="22"/>
        </w:rPr>
        <w:t>68,2 millones</w:t>
      </w:r>
      <w:r>
        <w:rPr>
          <w:rFonts w:ascii="Cambria" w:hAnsi="Cambria" w:cs="Cambria" w:eastAsia="Cambria"/>
          <w:sz w:val="22"/>
        </w:rPr>
        <w:t xml:space="preserve">, El Prat </w:t>
      </w:r>
      <w:r>
        <w:rPr>
          <w:rFonts w:ascii="Cambria" w:hAnsi="Cambria" w:cs="Cambria" w:eastAsia="Cambria"/>
          <w:b/>
          <w:sz w:val="22"/>
        </w:rPr>
        <w:t>57,5</w:t>
      </w:r>
      <w:r>
        <w:rPr>
          <w:rFonts w:ascii="Cambria" w:hAnsi="Cambria" w:cs="Cambria" w:eastAsia="Cambria"/>
          <w:sz w:val="22"/>
        </w:rPr>
        <w:t>. Barajas: 61 % de la carga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Capacidad: El Prat supera su techo. </w:t>
      </w:r>
      <w:r>
        <w:rPr>
          <w:rFonts w:ascii="Cambria" w:hAnsi="Cambria" w:cs="Cambria" w:eastAsia="Cambria"/>
          <w:b/>
          <w:sz w:val="22"/>
        </w:rPr>
        <w:t>DORA 3 (2027-2031)</w:t>
      </w:r>
      <w:r>
        <w:rPr>
          <w:rFonts w:ascii="Cambria" w:hAnsi="Cambria" w:cs="Cambria" w:eastAsia="Cambria"/>
          <w:sz w:val="22"/>
        </w:rPr>
        <w:t xml:space="preserve">: unos </w:t>
      </w:r>
      <w:r>
        <w:rPr>
          <w:rFonts w:ascii="Cambria" w:hAnsi="Cambria" w:cs="Cambria" w:eastAsia="Cambria"/>
          <w:b/>
          <w:sz w:val="22"/>
        </w:rPr>
        <w:t>12.900 M€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4.500 M€</w:t>
      </w:r>
      <w:r>
        <w:rPr>
          <w:rFonts w:ascii="Cambria" w:hAnsi="Cambria" w:cs="Cambria" w:eastAsia="Cambria"/>
          <w:sz w:val="22"/>
        </w:rPr>
        <w:t xml:space="preserve"> para Barajas (90 millones)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6.4. Transporte marítimo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RDL 2/2011</w:t>
      </w:r>
      <w:r>
        <w:rPr>
          <w:rFonts w:ascii="Cambria" w:hAnsi="Cambria" w:cs="Cambria" w:eastAsia="Cambria"/>
          <w:sz w:val="22"/>
        </w:rPr>
        <w:t xml:space="preserve">, Ley de Puertos del Estado y de la Marina Mercante. Autoridades Portuarias, coordinadas por </w:t>
      </w:r>
      <w:r>
        <w:rPr>
          <w:rFonts w:ascii="Cambria" w:hAnsi="Cambria" w:cs="Cambria" w:eastAsia="Cambria"/>
          <w:b/>
          <w:sz w:val="22"/>
        </w:rPr>
        <w:t>Puertos del Estado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2025: </w:t>
      </w:r>
      <w:r>
        <w:rPr>
          <w:rFonts w:ascii="Cambria" w:hAnsi="Cambria" w:cs="Cambria" w:eastAsia="Cambria"/>
          <w:b/>
          <w:sz w:val="22"/>
        </w:rPr>
        <w:t>556,6 millones t</w:t>
      </w:r>
      <w:r>
        <w:rPr>
          <w:rFonts w:ascii="Cambria" w:hAnsi="Cambria" w:cs="Cambria" w:eastAsia="Cambria"/>
          <w:sz w:val="22"/>
        </w:rPr>
        <w:t xml:space="preserve"> (-0,2 %). Contenedores </w:t>
      </w:r>
      <w:r>
        <w:rPr>
          <w:rFonts w:ascii="Cambria" w:hAnsi="Cambria" w:cs="Cambria" w:eastAsia="Cambria"/>
          <w:b/>
          <w:sz w:val="22"/>
        </w:rPr>
        <w:t>18,6 millones TEU</w:t>
      </w:r>
      <w:r>
        <w:rPr>
          <w:rFonts w:ascii="Cambria" w:hAnsi="Cambria" w:cs="Cambria" w:eastAsia="Cambria"/>
          <w:sz w:val="22"/>
        </w:rPr>
        <w:t xml:space="preserve"> (+2,7 %)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Algeciras 100,7 millones t, Valencia 80,7, Barcelona 69,4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Potencial: ZAL, TMCD, cruceros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6.5. Transporte ferroviario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2003: </w:t>
      </w:r>
      <w:r>
        <w:rPr>
          <w:rFonts w:ascii="Cambria" w:hAnsi="Cambria" w:cs="Cambria" w:eastAsia="Cambria"/>
          <w:b/>
          <w:sz w:val="22"/>
        </w:rPr>
        <w:t>ADIF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RENFE Operadora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Directiva 2012/34/UE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Liberalización: </w:t>
      </w:r>
      <w:r>
        <w:rPr>
          <w:rFonts w:ascii="Cambria" w:hAnsi="Cambria" w:cs="Cambria" w:eastAsia="Cambria"/>
          <w:b/>
          <w:sz w:val="22"/>
        </w:rPr>
        <w:t>OUIGO</w:t>
      </w:r>
      <w:r>
        <w:rPr>
          <w:rFonts w:ascii="Cambria" w:hAnsi="Cambria" w:cs="Cambria" w:eastAsia="Cambria"/>
          <w:sz w:val="22"/>
        </w:rPr>
        <w:t xml:space="preserve"> (2021), AVLO, </w:t>
      </w:r>
      <w:r>
        <w:rPr>
          <w:rFonts w:ascii="Cambria" w:hAnsi="Cambria" w:cs="Cambria" w:eastAsia="Cambria"/>
          <w:b/>
          <w:sz w:val="22"/>
        </w:rPr>
        <w:t>Iryo</w:t>
      </w:r>
      <w:r>
        <w:rPr>
          <w:rFonts w:ascii="Cambria" w:hAnsi="Cambria" w:cs="Cambria" w:eastAsia="Cambria"/>
          <w:sz w:val="22"/>
        </w:rPr>
        <w:t xml:space="preserve"> (2022). Único gran mercado con tres operadores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Resultados (CNMC): casi </w:t>
      </w:r>
      <w:r>
        <w:rPr>
          <w:rFonts w:ascii="Cambria" w:hAnsi="Cambria" w:cs="Cambria" w:eastAsia="Cambria"/>
          <w:b/>
          <w:sz w:val="22"/>
        </w:rPr>
        <w:t>40 millones</w:t>
      </w:r>
      <w:r>
        <w:rPr>
          <w:rFonts w:ascii="Cambria" w:hAnsi="Cambria" w:cs="Cambria" w:eastAsia="Cambria"/>
          <w:sz w:val="22"/>
        </w:rPr>
        <w:t xml:space="preserve"> de viajeros (2024), precios -35 % Madrid-Barcelona y -42 % Madrid-Valencia, cuota de RENFE 72 %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Mercancías: RENFE 42 %, Captrain 20 %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FIEM</w:t>
      </w:r>
      <w:r>
        <w:rPr>
          <w:rFonts w:ascii="Cambria" w:hAnsi="Cambria" w:cs="Cambria" w:eastAsia="Cambria"/>
          <w:sz w:val="22"/>
        </w:rPr>
        <w:t>: alta velocidad, segunda red del mundo tras China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SECTOR DE LA CONSTRUCCIÓN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7.1. Visión general: un sector en expansión a contracorriente de Europa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VAB </w:t>
      </w:r>
      <w:r>
        <w:rPr>
          <w:rFonts w:ascii="Cambria" w:hAnsi="Cambria" w:cs="Cambria" w:eastAsia="Cambria"/>
          <w:b/>
          <w:sz w:val="22"/>
        </w:rPr>
        <w:t>+5,6 %</w:t>
      </w:r>
      <w:r>
        <w:rPr>
          <w:rFonts w:ascii="Cambria" w:hAnsi="Cambria" w:cs="Cambria" w:eastAsia="Cambria"/>
          <w:sz w:val="22"/>
        </w:rPr>
        <w:t xml:space="preserve"> (2025) frente al 2,8 % de la economía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Zona euro estable y UE +0,5 %. Francia -5,1 %, Alemania -2,5 %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Euroconstruct-ITeC: España </w:t>
      </w:r>
      <w:r>
        <w:rPr>
          <w:rFonts w:ascii="Cambria" w:hAnsi="Cambria" w:cs="Cambria" w:eastAsia="Cambria"/>
          <w:b/>
          <w:sz w:val="22"/>
        </w:rPr>
        <w:t>+4 %</w:t>
      </w:r>
      <w:r>
        <w:rPr>
          <w:rFonts w:ascii="Cambria" w:hAnsi="Cambria" w:cs="Cambria" w:eastAsia="Cambria"/>
          <w:sz w:val="22"/>
        </w:rPr>
        <w:t>, Europa +0,3 %. Previsión 3,6 % (2026), 3,2 %, 2,2 %. Fin de fondos europeos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7.2. Construcción residencial: auge de demanda con oferta restringida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Auge</w:t>
      </w:r>
      <w:r>
        <w:rPr>
          <w:rFonts w:ascii="Cambria" w:hAnsi="Cambria" w:cs="Cambria" w:eastAsia="Cambria"/>
          <w:sz w:val="22"/>
        </w:rPr>
        <w:t>: compraventas &gt;</w:t>
      </w:r>
      <w:r>
        <w:rPr>
          <w:rFonts w:ascii="Cambria" w:hAnsi="Cambria" w:cs="Cambria" w:eastAsia="Cambria"/>
          <w:b/>
          <w:sz w:val="22"/>
        </w:rPr>
        <w:t>750.000</w:t>
      </w:r>
      <w:r>
        <w:rPr>
          <w:rFonts w:ascii="Cambria" w:hAnsi="Cambria" w:cs="Cambria" w:eastAsia="Cambria"/>
          <w:sz w:val="22"/>
        </w:rPr>
        <w:t xml:space="preserve">, hipotecas +14 %, precios reales </w:t>
      </w:r>
      <w:r>
        <w:rPr>
          <w:rFonts w:ascii="Cambria" w:hAnsi="Cambria" w:cs="Cambria" w:eastAsia="Cambria"/>
          <w:b/>
          <w:sz w:val="22"/>
        </w:rPr>
        <w:t>+9,7 %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Esfuerzo de acceso</w:t>
      </w:r>
      <w:r>
        <w:rPr>
          <w:rFonts w:ascii="Cambria" w:hAnsi="Cambria" w:cs="Cambria" w:eastAsia="Cambria"/>
          <w:sz w:val="22"/>
        </w:rPr>
        <w:t>: ratio precio-renta 4,3 años, 6,8 entre no propietarios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Oferta restringida</w:t>
      </w:r>
      <w:r>
        <w:rPr>
          <w:rFonts w:ascii="Cambria" w:hAnsi="Cambria" w:cs="Cambria" w:eastAsia="Cambria"/>
          <w:sz w:val="22"/>
        </w:rPr>
        <w:t xml:space="preserve"> (factor determinante):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Viviendas terminadas </w:t>
      </w:r>
      <w:r>
        <w:rPr>
          <w:rFonts w:ascii="Cambria" w:hAnsi="Cambria" w:cs="Cambria" w:eastAsia="Cambria"/>
          <w:b/>
          <w:sz w:val="22"/>
        </w:rPr>
        <w:t>92.000</w:t>
      </w:r>
      <w:r>
        <w:rPr>
          <w:rFonts w:ascii="Cambria" w:hAnsi="Cambria" w:cs="Cambria" w:eastAsia="Cambria"/>
          <w:sz w:val="22"/>
        </w:rPr>
        <w:t xml:space="preserve"> (-9 %)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95 % microempresas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Industrializada solo 2 %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Falta de personal en 63 % de las empresas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Previsión</w:t>
      </w:r>
      <w:r>
        <w:rPr>
          <w:rFonts w:ascii="Cambria" w:hAnsi="Cambria" w:cs="Cambria" w:eastAsia="Cambria"/>
          <w:sz w:val="22"/>
        </w:rPr>
        <w:t>: residencial +6,9 % (2025), 5,5-6 % en 2026-2028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7.3. Construcción no residencial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Logística y comercio por delante de oficinas (teletrabajo, comercio electrónico)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+0,8 % en 2025, 2-3 % en 2026-2028. Rehabilitación 1-2 %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7.4. Ingeniería civil y licitación pública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Licitación 2025 (SEOPAN): </w:t>
      </w:r>
      <w:r>
        <w:rPr>
          <w:rFonts w:ascii="Cambria" w:hAnsi="Cambria" w:cs="Cambria" w:eastAsia="Cambria"/>
          <w:b/>
          <w:sz w:val="22"/>
        </w:rPr>
        <w:t>33.143 M€</w:t>
      </w:r>
      <w:r>
        <w:rPr>
          <w:rFonts w:ascii="Cambria" w:hAnsi="Cambria" w:cs="Cambria" w:eastAsia="Cambria"/>
          <w:sz w:val="22"/>
        </w:rPr>
        <w:t xml:space="preserve"> (+13 %), mejor desde 2009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Fondos MRR</w:t>
      </w:r>
      <w:r>
        <w:rPr>
          <w:rFonts w:ascii="Cambria" w:hAnsi="Cambria" w:cs="Cambria" w:eastAsia="Cambria"/>
          <w:sz w:val="22"/>
        </w:rPr>
        <w:t xml:space="preserve"> 2019-2025: </w:t>
      </w:r>
      <w:r>
        <w:rPr>
          <w:rFonts w:ascii="Cambria" w:hAnsi="Cambria" w:cs="Cambria" w:eastAsia="Cambria"/>
          <w:b/>
          <w:sz w:val="22"/>
        </w:rPr>
        <w:t>18.418 M€</w:t>
      </w:r>
      <w:r>
        <w:rPr>
          <w:rFonts w:ascii="Cambria" w:hAnsi="Cambria" w:cs="Cambria" w:eastAsia="Cambria"/>
          <w:sz w:val="22"/>
        </w:rPr>
        <w:t>, 18,5 % de la obra civil. Adif 7.749 M€. En 2025 caen un 36 %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Ingeniería civil: +3,0 % (2025), +2,0 % (2026)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8.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Segmento de mayor valor añadido y potencial de la economía exterior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Vectores: reestructuración financiera y fintech, liberalización de telecomunicaciones y 5G, transporte y competencia ferroviaria, rehabilitación energética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Retos: digitalización, innovación, competencia. GATS y política comercial de la UE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24 –Análisis de la evolución del comercio exterior de servicios en España (II). Servicios no turísticos (servicios prestados a las empresas, transportes, servicios informáticos, financieros, construcción…)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24 –Análisis de la evolución del comercio exterior de servicios en España (II). Servicios no turísticos (servicios prestados a las empresas, transportes, servicios informáticos, financieros, construcción…)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