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CITES</w:t>
      </w:r>
      <w:r>
        <w:rPr>
          <w:rFonts w:ascii="Cambria" w:hAnsi="Cambria" w:cs="Cambria" w:eastAsia="Cambria"/>
          <w:sz w:val="22"/>
        </w:rPr>
        <w:t>: Convención sobre el Comercio Internacional de Especies Amenazadas de Fauna y Flora Silvestres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Firmada en </w:t>
      </w:r>
      <w:r>
        <w:rPr>
          <w:rFonts w:ascii="Cambria" w:hAnsi="Cambria" w:cs="Cambria" w:eastAsia="Cambria"/>
          <w:b/>
          <w:sz w:val="22"/>
        </w:rPr>
        <w:t>Washington, 3 de marzo de 1973</w:t>
      </w:r>
      <w:r>
        <w:rPr>
          <w:rFonts w:ascii="Cambria" w:hAnsi="Cambria" w:cs="Cambria" w:eastAsia="Cambria"/>
          <w:sz w:val="22"/>
        </w:rPr>
        <w:t xml:space="preserve">, en vigor el </w:t>
      </w:r>
      <w:r>
        <w:rPr>
          <w:rFonts w:ascii="Cambria" w:hAnsi="Cambria" w:cs="Cambria" w:eastAsia="Cambria"/>
          <w:b/>
          <w:sz w:val="22"/>
        </w:rPr>
        <w:t>1 de julio de 1975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25 artículos</w:t>
      </w:r>
      <w:r>
        <w:rPr>
          <w:rFonts w:ascii="Cambria" w:hAnsi="Cambria" w:cs="Cambria" w:eastAsia="Cambria"/>
          <w:sz w:val="22"/>
        </w:rPr>
        <w:t xml:space="preserve">, más de </w:t>
      </w:r>
      <w:r>
        <w:rPr>
          <w:rFonts w:ascii="Cambria" w:hAnsi="Cambria" w:cs="Cambria" w:eastAsia="Cambria"/>
          <w:b/>
          <w:sz w:val="22"/>
        </w:rPr>
        <w:t>40.900 especies</w:t>
      </w:r>
      <w:r>
        <w:rPr>
          <w:rFonts w:ascii="Cambria" w:hAnsi="Cambria" w:cs="Cambria" w:eastAsia="Cambria"/>
          <w:sz w:val="22"/>
        </w:rPr>
        <w:t xml:space="preserve"> (CoP19 Panamá 2022, CoP20 Samarkanda 2025)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185 Partes</w:t>
      </w:r>
      <w:r>
        <w:rPr>
          <w:rFonts w:ascii="Cambria" w:hAnsi="Cambria" w:cs="Cambria" w:eastAsia="Cambria"/>
          <w:sz w:val="22"/>
        </w:rPr>
        <w:t xml:space="preserve">: 184 Estados y la </w:t>
      </w: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 xml:space="preserve"> (julio de 2015)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 xml:space="preserve"> Parte desde el </w:t>
      </w:r>
      <w:r>
        <w:rPr>
          <w:rFonts w:ascii="Cambria" w:hAnsi="Cambria" w:cs="Cambria" w:eastAsia="Cambria"/>
          <w:b/>
          <w:sz w:val="22"/>
        </w:rPr>
        <w:t>16 de mayo de 1986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Acuerdo voluntario, vinculante para las Partes, no suplanta legislaciones nacionales: cada Parte lo desarrolla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UE: gran mercado de fauna y flora silvestre, responsabilidad especial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Mercado Único</w:t>
      </w:r>
      <w:r>
        <w:rPr>
          <w:rFonts w:ascii="Cambria" w:hAnsi="Cambria" w:cs="Cambria" w:eastAsia="Cambria"/>
          <w:sz w:val="22"/>
        </w:rPr>
        <w:t xml:space="preserve"> sin controles internos: aplicación uniforme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Desde </w:t>
      </w:r>
      <w:r>
        <w:rPr>
          <w:rFonts w:ascii="Cambria" w:hAnsi="Cambria" w:cs="Cambria" w:eastAsia="Cambria"/>
          <w:b/>
          <w:sz w:val="22"/>
        </w:rPr>
        <w:t>1984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reglamentos de aplicación directa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APLICACIÓN EN LA UNIÓN EUROPEA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Marco normativo básico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338/97</w:t>
      </w:r>
      <w:r>
        <w:rPr>
          <w:rFonts w:ascii="Cambria" w:hAnsi="Cambria" w:cs="Cambria" w:eastAsia="Cambria"/>
          <w:sz w:val="22"/>
        </w:rPr>
        <w:t xml:space="preserve"> del Consejo, legislación marco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Última actualización sustancial de anexos: </w:t>
      </w:r>
      <w:r>
        <w:rPr>
          <w:rFonts w:ascii="Cambria" w:hAnsi="Cambria" w:cs="Cambria" w:eastAsia="Cambria"/>
          <w:b/>
          <w:sz w:val="22"/>
        </w:rPr>
        <w:t>Reglamento (UE) 2023/966</w:t>
      </w:r>
      <w:r>
        <w:rPr>
          <w:rFonts w:ascii="Cambria" w:hAnsi="Cambria" w:cs="Cambria" w:eastAsia="Cambria"/>
          <w:sz w:val="22"/>
        </w:rPr>
        <w:t xml:space="preserve"> (CoP19)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Pendiente de transposición la actualización de la CoP20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865/2006</w:t>
      </w:r>
      <w:r>
        <w:rPr>
          <w:rFonts w:ascii="Cambria" w:hAnsi="Cambria" w:cs="Cambria" w:eastAsia="Cambria"/>
          <w:sz w:val="22"/>
        </w:rPr>
        <w:t xml:space="preserve"> de la Comisión, disposiciones de aplicación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Modelos de permisos, certificados y notificaciones, validez y uso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Marcado y etiquetado, cautividad y reproducción artificial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Ambos regulan comercio </w:t>
      </w:r>
      <w:r>
        <w:rPr>
          <w:rFonts w:ascii="Cambria" w:hAnsi="Cambria" w:cs="Cambria" w:eastAsia="Cambria"/>
          <w:b/>
          <w:sz w:val="22"/>
        </w:rPr>
        <w:t>internacional e interno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Suspensiones</w:t>
      </w:r>
      <w:r>
        <w:rPr>
          <w:rFonts w:ascii="Cambria" w:hAnsi="Cambria" w:cs="Cambria" w:eastAsia="Cambria"/>
          <w:sz w:val="22"/>
        </w:rPr>
        <w:t xml:space="preserve">: Reglamento de Ejecución (UE) </w:t>
      </w:r>
      <w:r>
        <w:rPr>
          <w:rFonts w:ascii="Cambria" w:hAnsi="Cambria" w:cs="Cambria" w:eastAsia="Cambria"/>
          <w:b/>
          <w:sz w:val="22"/>
        </w:rPr>
        <w:t>2025/6</w:t>
      </w:r>
      <w:r>
        <w:rPr>
          <w:rFonts w:ascii="Cambria" w:hAnsi="Cambria" w:cs="Cambria" w:eastAsia="Cambria"/>
          <w:sz w:val="22"/>
        </w:rPr>
        <w:t>, prohíbe introducir especímenes de ciertas especies, se sustituye periódicamente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Recomendación 2007/425/CE</w:t>
      </w:r>
      <w:r>
        <w:rPr>
          <w:rFonts w:ascii="Cambria" w:hAnsi="Cambria" w:cs="Cambria" w:eastAsia="Cambria"/>
          <w:sz w:val="22"/>
        </w:rPr>
        <w:t>, actuaciones de aplicación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Disposiciones que lo requieran se </w:t>
      </w:r>
      <w:r>
        <w:rPr>
          <w:rFonts w:ascii="Cambria" w:hAnsi="Cambria" w:cs="Cambria" w:eastAsia="Cambria"/>
          <w:b/>
          <w:sz w:val="22"/>
        </w:rPr>
        <w:t>transponen</w:t>
      </w:r>
      <w:r>
        <w:rPr>
          <w:rFonts w:ascii="Cambria" w:hAnsi="Cambria" w:cs="Cambria" w:eastAsia="Cambria"/>
          <w:sz w:val="22"/>
        </w:rPr>
        <w:t xml:space="preserve">, y materias como el </w:t>
      </w:r>
      <w:r>
        <w:rPr>
          <w:rFonts w:ascii="Cambria" w:hAnsi="Cambria" w:cs="Cambria" w:eastAsia="Cambria"/>
          <w:b/>
          <w:sz w:val="22"/>
        </w:rPr>
        <w:t>régimen sancionador</w:t>
      </w:r>
      <w:r>
        <w:rPr>
          <w:rFonts w:ascii="Cambria" w:hAnsi="Cambria" w:cs="Cambria" w:eastAsia="Cambria"/>
          <w:sz w:val="22"/>
        </w:rPr>
        <w:t xml:space="preserve"> se completan con ley nacional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Organismos de la UE en materia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Representantes de Autoridades Administrativas, Científicas y de Observancia, presididos por la </w:t>
      </w:r>
      <w:r>
        <w:rPr>
          <w:rFonts w:ascii="Cambria" w:hAnsi="Cambria" w:cs="Cambria" w:eastAsia="Cambria"/>
          <w:b/>
          <w:sz w:val="22"/>
        </w:rPr>
        <w:t>Comisión Europea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Comité sobre el Comercio de Fauna y Flora Silvestres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Autoridades Administrativas, 3 o 4 reuniones al 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Comisión adopta medidas según su opinión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Sin mayoría cualificada positiva: propuesta al </w:t>
      </w:r>
      <w:r>
        <w:rPr>
          <w:rFonts w:ascii="Cambria" w:hAnsi="Cambria" w:cs="Cambria" w:eastAsia="Cambria"/>
          <w:b/>
          <w:sz w:val="22"/>
        </w:rPr>
        <w:t>Consejo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 de Revisión Científica (SRG)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Autoridades Científicas, 3 o 4 reuniones al 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Examina si una importación cumple los requisitos de conservación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Opiniones al Comité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 de Observancia o Vigilancia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Aduanas, policía, inspectores, unas 2 reuniones al 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Sigue la vigilancia, recomienda mejoras, intercambia información sobre comercio ilegal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Los anexos comunitarios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Cuatro anexos (A, B, C y D)</w:t>
      </w:r>
      <w:r>
        <w:rPr>
          <w:rFonts w:ascii="Cambria" w:hAnsi="Cambria" w:cs="Cambria" w:eastAsia="Cambria"/>
          <w:sz w:val="22"/>
        </w:rPr>
        <w:t>, último: Reglamento (UE) 2023/966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A, B y C equivalen en gran parte a </w:t>
      </w:r>
      <w:r>
        <w:rPr>
          <w:rFonts w:ascii="Cambria" w:hAnsi="Cambria" w:cs="Cambria" w:eastAsia="Cambria"/>
          <w:b/>
          <w:sz w:val="22"/>
        </w:rPr>
        <w:t>Apéndices I, II y III</w:t>
      </w:r>
      <w:r>
        <w:rPr>
          <w:rFonts w:ascii="Cambria" w:hAnsi="Cambria" w:cs="Cambria" w:eastAsia="Cambria"/>
          <w:sz w:val="22"/>
        </w:rPr>
        <w:t>, más especies no CITES protegidas por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Anexo 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Apéndice I (salvo reserva), algunas de II y III con medidas más estrictas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Especies no CITES de </w:t>
      </w:r>
      <w:r>
        <w:rPr>
          <w:rFonts w:ascii="Cambria" w:hAnsi="Cambria" w:cs="Cambria" w:eastAsia="Cambria"/>
          <w:b/>
          <w:sz w:val="22"/>
        </w:rPr>
        <w:t>Directiva de Aves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Hábitats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Ejemplos: lince ibérico, oso pardo, águila real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Anexo B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Resto del Apéndice II, algunas del III, Apéndice I con reservas, algunas no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Anexo 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Resto del Apéndice III y Apéndice II con reservas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Anexo 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Resto del III con reservas y algunas no CITES supervisadas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Sin equivalente CITES: </w:t>
      </w:r>
      <w:r>
        <w:rPr>
          <w:rFonts w:ascii="Cambria" w:hAnsi="Cambria" w:cs="Cambria" w:eastAsia="Cambria"/>
          <w:b/>
          <w:sz w:val="22"/>
        </w:rPr>
        <w:t>lista de vigilancia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Coherencia con </w:t>
      </w:r>
      <w:r>
        <w:rPr>
          <w:rFonts w:ascii="Cambria" w:hAnsi="Cambria" w:cs="Cambria" w:eastAsia="Cambria"/>
          <w:b/>
          <w:sz w:val="22"/>
        </w:rPr>
        <w:t>Directiva 92/43/CEE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Directiva 2009/147/CE</w:t>
      </w:r>
      <w:r>
        <w:rPr>
          <w:rFonts w:ascii="Cambria" w:hAnsi="Cambria" w:cs="Cambria" w:eastAsia="Cambria"/>
          <w:sz w:val="22"/>
        </w:rPr>
        <w:t>: autóctonas de II y III pasan al Anexo 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Estados pueden adoptar medidas nacionales más severas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El comercio interno en la Unión Europea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Sin fronteras internas: </w:t>
      </w:r>
      <w:r>
        <w:rPr>
          <w:rFonts w:ascii="Cambria" w:hAnsi="Cambria" w:cs="Cambria" w:eastAsia="Cambria"/>
          <w:b/>
          <w:sz w:val="22"/>
        </w:rPr>
        <w:t>sin permisos ni certificados</w:t>
      </w:r>
      <w:r>
        <w:rPr>
          <w:rFonts w:ascii="Cambria" w:hAnsi="Cambria" w:cs="Cambria" w:eastAsia="Cambria"/>
          <w:sz w:val="22"/>
        </w:rPr>
        <w:t xml:space="preserve"> para Anexos B, C o D dentro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Cada Estado puede restringir la tenencia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Silvestres del </w:t>
      </w:r>
      <w:r>
        <w:rPr>
          <w:rFonts w:ascii="Cambria" w:hAnsi="Cambria" w:cs="Cambria" w:eastAsia="Cambria"/>
          <w:b/>
          <w:sz w:val="22"/>
        </w:rPr>
        <w:t>Anexo A</w:t>
      </w:r>
      <w:r>
        <w:rPr>
          <w:rFonts w:ascii="Cambria" w:hAnsi="Cambria" w:cs="Cambria" w:eastAsia="Cambria"/>
          <w:sz w:val="22"/>
        </w:rPr>
        <w:t>: por regla general, sin fines comerciales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Excepción caso por caso: </w:t>
      </w:r>
      <w:r>
        <w:rPr>
          <w:rFonts w:ascii="Cambria" w:hAnsi="Cambria" w:cs="Cambria" w:eastAsia="Cambria"/>
          <w:b/>
          <w:sz w:val="22"/>
        </w:rPr>
        <w:t>Certificado de uso comunitario</w:t>
      </w:r>
      <w:r>
        <w:rPr>
          <w:rFonts w:ascii="Cambria" w:hAnsi="Cambria" w:cs="Cambria" w:eastAsia="Cambria"/>
          <w:sz w:val="22"/>
        </w:rPr>
        <w:t>, solo dentro de la UE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Suspensiones de importaciones en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Comisión suspende importaciones de determinados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Requisito: </w:t>
      </w:r>
      <w:r>
        <w:rPr>
          <w:rFonts w:ascii="Cambria" w:hAnsi="Cambria" w:cs="Cambria" w:eastAsia="Cambria"/>
          <w:b/>
          <w:sz w:val="22"/>
        </w:rPr>
        <w:t>opinión negativa del SRG</w:t>
      </w:r>
      <w:r>
        <w:rPr>
          <w:rFonts w:ascii="Cambria" w:hAnsi="Cambria" w:cs="Cambria" w:eastAsia="Cambria"/>
          <w:sz w:val="22"/>
        </w:rPr>
        <w:t>, tras consultar al Estado del área de distribución, por efecto perjudicial en la conservación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Opiniones temporales, eliminables con nueva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 se prolonga: </w:t>
      </w:r>
      <w:r>
        <w:rPr>
          <w:rFonts w:ascii="Cambria" w:hAnsi="Cambria" w:cs="Cambria" w:eastAsia="Cambria"/>
          <w:b/>
          <w:sz w:val="22"/>
        </w:rPr>
        <w:t>Reglamentos de Suspensión</w:t>
      </w:r>
      <w:r>
        <w:rPr>
          <w:rFonts w:ascii="Cambria" w:hAnsi="Cambria" w:cs="Cambria" w:eastAsia="Cambria"/>
          <w:sz w:val="22"/>
        </w:rPr>
        <w:t xml:space="preserve"> a más largo plazo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También vivos del Anexo B con alta mortalidad, escasa supervivencia o amenaza ecológica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Lista en el </w:t>
      </w:r>
      <w:r>
        <w:rPr>
          <w:rFonts w:ascii="Cambria" w:hAnsi="Cambria" w:cs="Cambria" w:eastAsia="Cambria"/>
          <w:b/>
          <w:sz w:val="22"/>
        </w:rPr>
        <w:t>Diario Oficial de la UE</w:t>
      </w:r>
      <w:r>
        <w:rPr>
          <w:rFonts w:ascii="Cambria" w:hAnsi="Cambria" w:cs="Cambria" w:eastAsia="Cambria"/>
          <w:sz w:val="22"/>
        </w:rPr>
        <w:t xml:space="preserve">, vigente el Reglamento (UE) </w:t>
      </w:r>
      <w:r>
        <w:rPr>
          <w:rFonts w:ascii="Cambria" w:hAnsi="Cambria" w:cs="Cambria" w:eastAsia="Cambria"/>
          <w:b/>
          <w:sz w:val="22"/>
        </w:rPr>
        <w:t>2025/6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DIFERENCIAS PRINCIPALES ENTRE CITES Y REGLAMENTOS COMUNITARIOS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Importación más estricta</w:t>
      </w:r>
      <w:r>
        <w:rPr>
          <w:rFonts w:ascii="Cambria" w:hAnsi="Cambria" w:cs="Cambria" w:eastAsia="Cambria"/>
          <w:sz w:val="22"/>
        </w:rPr>
        <w:t>: permisos para Anexos A y B, notificaciones para C y 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Especies no del Apéndice II en el </w:t>
      </w:r>
      <w:r>
        <w:rPr>
          <w:rFonts w:ascii="Cambria" w:hAnsi="Cambria" w:cs="Cambria" w:eastAsia="Cambria"/>
          <w:b/>
          <w:sz w:val="22"/>
        </w:rPr>
        <w:t>Anexo A</w:t>
      </w:r>
      <w:r>
        <w:rPr>
          <w:rFonts w:ascii="Cambria" w:hAnsi="Cambria" w:cs="Cambria" w:eastAsia="Cambria"/>
          <w:sz w:val="22"/>
        </w:rPr>
        <w:t>: ni comercio ni uso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Vivos de A y B: destinatario con </w:t>
      </w:r>
      <w:r>
        <w:rPr>
          <w:rFonts w:ascii="Cambria" w:hAnsi="Cambria" w:cs="Cambria" w:eastAsia="Cambria"/>
          <w:b/>
          <w:sz w:val="22"/>
        </w:rPr>
        <w:t>medios adecuados</w:t>
      </w:r>
      <w:r>
        <w:rPr>
          <w:rFonts w:ascii="Cambria" w:hAnsi="Cambria" w:cs="Cambria" w:eastAsia="Cambria"/>
          <w:sz w:val="22"/>
        </w:rPr>
        <w:t xml:space="preserve"> (CITES solo en Apéndice 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Regulan comercio </w:t>
      </w:r>
      <w:r>
        <w:rPr>
          <w:rFonts w:ascii="Cambria" w:hAnsi="Cambria" w:cs="Cambria" w:eastAsia="Cambria"/>
          <w:b/>
          <w:sz w:val="22"/>
        </w:rPr>
        <w:t>interno</w:t>
      </w:r>
      <w:r>
        <w:rPr>
          <w:rFonts w:ascii="Cambria" w:hAnsi="Cambria" w:cs="Cambria" w:eastAsia="Cambria"/>
          <w:sz w:val="22"/>
        </w:rPr>
        <w:t xml:space="preserve"> e internacional, la CITES solo el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Pueden </w:t>
      </w:r>
      <w:r>
        <w:rPr>
          <w:rFonts w:ascii="Cambria" w:hAnsi="Cambria" w:cs="Cambria" w:eastAsia="Cambria"/>
          <w:b/>
          <w:sz w:val="22"/>
        </w:rPr>
        <w:t>suspender importaciones</w:t>
      </w:r>
      <w:r>
        <w:rPr>
          <w:rFonts w:ascii="Cambria" w:hAnsi="Cambria" w:cs="Cambria" w:eastAsia="Cambria"/>
          <w:sz w:val="22"/>
        </w:rPr>
        <w:t xml:space="preserve"> aunque la CITES las permita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LA ENMIENDA DE GABORONE Y LA ADHESIÓN DE LA UE A LA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CITES previó solo Estados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Enmienda de Gaborone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30 de abril de 1983</w:t>
      </w:r>
      <w:r>
        <w:rPr>
          <w:rFonts w:ascii="Cambria" w:hAnsi="Cambria" w:cs="Cambria" w:eastAsia="Cambria"/>
          <w:sz w:val="22"/>
        </w:rPr>
        <w:t xml:space="preserve">, permite adhesión de </w:t>
      </w:r>
      <w:r>
        <w:rPr>
          <w:rFonts w:ascii="Cambria" w:hAnsi="Cambria" w:cs="Cambria" w:eastAsia="Cambria"/>
          <w:b/>
          <w:sz w:val="22"/>
        </w:rPr>
        <w:t>ORIE</w:t>
      </w:r>
      <w:r>
        <w:rPr>
          <w:rFonts w:ascii="Cambria" w:hAnsi="Cambria" w:cs="Cambria" w:eastAsia="Cambria"/>
          <w:sz w:val="22"/>
        </w:rPr>
        <w:t xml:space="preserve"> (Organizaciones Regionales de Integración Económica)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vigor el </w:t>
      </w:r>
      <w:r>
        <w:rPr>
          <w:rFonts w:ascii="Cambria" w:hAnsi="Cambria" w:cs="Cambria" w:eastAsia="Cambria"/>
          <w:b/>
          <w:sz w:val="22"/>
        </w:rPr>
        <w:t>29 de noviembre de 2013</w:t>
      </w:r>
      <w:r>
        <w:rPr>
          <w:rFonts w:ascii="Cambria" w:hAnsi="Cambria" w:cs="Cambria" w:eastAsia="Cambria"/>
          <w:sz w:val="22"/>
        </w:rPr>
        <w:t xml:space="preserve">, tras la aceptación de </w:t>
      </w:r>
      <w:r>
        <w:rPr>
          <w:rFonts w:ascii="Cambria" w:hAnsi="Cambria" w:cs="Cambria" w:eastAsia="Cambria"/>
          <w:b/>
          <w:sz w:val="22"/>
        </w:rPr>
        <w:t>Costa Rica</w:t>
      </w:r>
      <w:r>
        <w:rPr>
          <w:rFonts w:ascii="Cambria" w:hAnsi="Cambria" w:cs="Cambria" w:eastAsia="Cambria"/>
          <w:sz w:val="22"/>
        </w:rPr>
        <w:t xml:space="preserve"> (dos tercios de Partes)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103 partes</w:t>
      </w:r>
      <w:r>
        <w:rPr>
          <w:rFonts w:ascii="Cambria" w:hAnsi="Cambria" w:cs="Cambria" w:eastAsia="Cambria"/>
          <w:sz w:val="22"/>
        </w:rPr>
        <w:t xml:space="preserve"> la han firmado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Adhesión de la UE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9 de abril de 2015</w:t>
      </w:r>
      <w:r>
        <w:rPr>
          <w:rFonts w:ascii="Cambria" w:hAnsi="Cambria" w:cs="Cambria" w:eastAsia="Cambria"/>
          <w:sz w:val="22"/>
        </w:rPr>
        <w:t xml:space="preserve">, en vigor el </w:t>
      </w:r>
      <w:r>
        <w:rPr>
          <w:rFonts w:ascii="Cambria" w:hAnsi="Cambria" w:cs="Cambria" w:eastAsia="Cambria"/>
          <w:b/>
          <w:sz w:val="22"/>
        </w:rPr>
        <w:t>8 de julio de 2015</w:t>
      </w:r>
      <w:r>
        <w:rPr>
          <w:rFonts w:ascii="Cambria" w:hAnsi="Cambria" w:cs="Cambria" w:eastAsia="Cambria"/>
          <w:sz w:val="22"/>
        </w:rPr>
        <w:t xml:space="preserve"> (90 días, artículo </w:t>
      </w:r>
      <w:r>
        <w:rPr>
          <w:rFonts w:ascii="Cambria" w:hAnsi="Cambria" w:cs="Cambria" w:eastAsia="Cambria"/>
          <w:b/>
          <w:sz w:val="22"/>
        </w:rPr>
        <w:t>XXII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Papel pleno y único punto de referencia ante Partes y Secretaría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Obliga a los Estados miembros a aplicar la Convención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Contribuye al presupuesto básico y a proyectos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voto adicional: vota con los votos de sus Estados miembros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APLICACIÓN EN ESPAÑA DE LAS DISPOSICIONES COMUNITARIAS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Instrumento de adhesión de </w:t>
      </w:r>
      <w:r>
        <w:rPr>
          <w:rFonts w:ascii="Cambria" w:hAnsi="Cambria" w:cs="Cambria" w:eastAsia="Cambria"/>
          <w:b/>
          <w:sz w:val="22"/>
        </w:rPr>
        <w:t>16 de mayo de 1986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Legislación de aplicación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986/2021</w:t>
      </w:r>
      <w:r>
        <w:rPr>
          <w:rFonts w:ascii="Cambria" w:hAnsi="Cambria" w:cs="Cambria" w:eastAsia="Cambria"/>
          <w:sz w:val="22"/>
        </w:rPr>
        <w:t xml:space="preserve">, aplicación del Convenio y del Reglamento 338/97, en vigor desde el </w:t>
      </w:r>
      <w:r>
        <w:rPr>
          <w:rFonts w:ascii="Cambria" w:hAnsi="Cambria" w:cs="Cambria" w:eastAsia="Cambria"/>
          <w:b/>
          <w:sz w:val="22"/>
        </w:rPr>
        <w:t>2 de enero de 2022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Nuevo esquema de autoridades, homologado a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Resolución de 29 de noviembre de 2016</w:t>
      </w:r>
      <w:r>
        <w:rPr>
          <w:rFonts w:ascii="Cambria" w:hAnsi="Cambria" w:cs="Cambria" w:eastAsia="Cambria"/>
          <w:sz w:val="22"/>
        </w:rPr>
        <w:t xml:space="preserve"> (DG de Comercio Internacional e Inversiones)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Direcciones Territoriales y Provinciales habilitadas para permisos y certificados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Tramitación electrónica, incluido el </w:t>
      </w:r>
      <w:r>
        <w:rPr>
          <w:rFonts w:ascii="Cambria" w:hAnsi="Cambria" w:cs="Cambria" w:eastAsia="Cambria"/>
          <w:b/>
          <w:sz w:val="22"/>
        </w:rPr>
        <w:t>DIESAC</w:t>
      </w:r>
      <w:r>
        <w:rPr>
          <w:rFonts w:ascii="Cambria" w:hAnsi="Cambria" w:cs="Cambria" w:eastAsia="Cambria"/>
          <w:sz w:val="22"/>
        </w:rPr>
        <w:t xml:space="preserve"> (Documento de Inspección de Especies Sujetas a Control)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Resolución de 20 de enero de 2023</w:t>
      </w:r>
      <w:r>
        <w:rPr>
          <w:rFonts w:ascii="Cambria" w:hAnsi="Cambria" w:cs="Cambria" w:eastAsia="Cambria"/>
          <w:sz w:val="22"/>
        </w:rPr>
        <w:t xml:space="preserve">: encomienda de la </w:t>
      </w:r>
      <w:r>
        <w:rPr>
          <w:rFonts w:ascii="Cambria" w:hAnsi="Cambria" w:cs="Cambria" w:eastAsia="Cambria"/>
          <w:b/>
          <w:sz w:val="22"/>
        </w:rPr>
        <w:t>AEAT</w:t>
      </w:r>
      <w:r>
        <w:rPr>
          <w:rFonts w:ascii="Cambria" w:hAnsi="Cambria" w:cs="Cambria" w:eastAsia="Cambria"/>
          <w:sz w:val="22"/>
        </w:rPr>
        <w:t xml:space="preserve"> a la Secretaría de Estado de Comercio para verificaciones previas al despacho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Vigencia inicial de </w:t>
      </w:r>
      <w:r>
        <w:rPr>
          <w:rFonts w:ascii="Cambria" w:hAnsi="Cambria" w:cs="Cambria" w:eastAsia="Cambria"/>
          <w:b/>
          <w:sz w:val="22"/>
        </w:rPr>
        <w:t>4 años</w:t>
      </w:r>
      <w:r>
        <w:rPr>
          <w:rFonts w:ascii="Cambria" w:hAnsi="Cambria" w:cs="Cambria" w:eastAsia="Cambria"/>
          <w:sz w:val="22"/>
        </w:rPr>
        <w:t xml:space="preserve">, hasta el </w:t>
      </w:r>
      <w:r>
        <w:rPr>
          <w:rFonts w:ascii="Cambria" w:hAnsi="Cambria" w:cs="Cambria" w:eastAsia="Cambria"/>
          <w:b/>
          <w:sz w:val="22"/>
        </w:rPr>
        <w:t>28 de enero de 2027</w:t>
      </w:r>
      <w:r>
        <w:rPr>
          <w:rFonts w:ascii="Cambria" w:hAnsi="Cambria" w:cs="Cambria" w:eastAsia="Cambria"/>
          <w:sz w:val="22"/>
        </w:rPr>
        <w:t>, prorrogable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1333/2006</w:t>
      </w:r>
      <w:r>
        <w:rPr>
          <w:rFonts w:ascii="Cambria" w:hAnsi="Cambria" w:cs="Cambria" w:eastAsia="Cambria"/>
          <w:sz w:val="22"/>
        </w:rPr>
        <w:t>, destino de decomisados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32/2007</w:t>
      </w:r>
      <w:r>
        <w:rPr>
          <w:rFonts w:ascii="Cambria" w:hAnsi="Cambria" w:cs="Cambria" w:eastAsia="Cambria"/>
          <w:sz w:val="22"/>
        </w:rPr>
        <w:t>, disposición adicional segunda: tasa por permisos y certificados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7/2018</w:t>
      </w:r>
      <w:r>
        <w:rPr>
          <w:rFonts w:ascii="Cambria" w:hAnsi="Cambria" w:cs="Cambria" w:eastAsia="Cambria"/>
          <w:sz w:val="22"/>
        </w:rPr>
        <w:t>, documentación, tenencia y marcado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Legislación sancionadora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Orgánica 10/1995</w:t>
      </w:r>
      <w:r>
        <w:rPr>
          <w:rFonts w:ascii="Cambria" w:hAnsi="Cambria" w:cs="Cambria" w:eastAsia="Cambria"/>
          <w:sz w:val="22"/>
        </w:rPr>
        <w:t>, Código Penal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Orgánica 12/1995</w:t>
      </w:r>
      <w:r>
        <w:rPr>
          <w:rFonts w:ascii="Cambria" w:hAnsi="Cambria" w:cs="Cambria" w:eastAsia="Cambria"/>
          <w:sz w:val="22"/>
        </w:rPr>
        <w:t>, Represión del Contrabando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1649/1998</w:t>
      </w:r>
      <w:r>
        <w:rPr>
          <w:rFonts w:ascii="Cambria" w:hAnsi="Cambria" w:cs="Cambria" w:eastAsia="Cambria"/>
          <w:sz w:val="22"/>
        </w:rPr>
        <w:t>, infracciones administrativas de contrabando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Orgánica 6/2011</w:t>
      </w:r>
      <w:r>
        <w:rPr>
          <w:rFonts w:ascii="Cambria" w:hAnsi="Cambria" w:cs="Cambria" w:eastAsia="Cambria"/>
          <w:sz w:val="22"/>
        </w:rPr>
        <w:t>, adapta la LO 12/1995 al Código Aduanero de la Unión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AUTORIDAD ADMINISTRATIVA Y AUTORIDAD CIENTÍFICA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Comercio solo si no perjudica la supervivencia de la especie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Cada Parte designa Autoridades Científicas y Administrativas (artículo </w:t>
      </w:r>
      <w:r>
        <w:rPr>
          <w:rFonts w:ascii="Cambria" w:hAnsi="Cambria" w:cs="Cambria" w:eastAsia="Cambria"/>
          <w:b/>
          <w:sz w:val="22"/>
        </w:rPr>
        <w:t>IX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Administrativa emite permisos según opinión de la Científica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Aduanas y policía comprueban envíos y permisos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Esquema vigente desde el RD 986/2021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La Autoridad Administrativa y órgano de gestión principal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Dirección General de Biodiversidad, Bosques y Desertificación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MITECO</w:t>
      </w:r>
      <w:r>
        <w:rPr>
          <w:rFonts w:ascii="Cambria" w:hAnsi="Cambria" w:cs="Cambria" w:eastAsia="Cambria"/>
          <w:sz w:val="22"/>
        </w:rPr>
        <w:t>), art. 13.1.a) del Reglamento 338/97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Autorizaciones de </w:t>
      </w:r>
      <w:r>
        <w:rPr>
          <w:rFonts w:ascii="Cambria" w:hAnsi="Cambria" w:cs="Cambria" w:eastAsia="Cambria"/>
          <w:b/>
          <w:sz w:val="22"/>
        </w:rPr>
        <w:t>importación, exportación y reexportación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Emisión de </w:t>
      </w:r>
      <w:r>
        <w:rPr>
          <w:rFonts w:ascii="Cambria" w:hAnsi="Cambria" w:cs="Cambria" w:eastAsia="Cambria"/>
          <w:b/>
          <w:sz w:val="22"/>
        </w:rPr>
        <w:t>permisos y certificados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Legalización de especímenes </w:t>
      </w:r>
      <w:r>
        <w:rPr>
          <w:rFonts w:ascii="Cambria" w:hAnsi="Cambria" w:cs="Cambria" w:eastAsia="Cambria"/>
          <w:b/>
          <w:sz w:val="22"/>
        </w:rPr>
        <w:t>Pre-Convención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Registro de colecciones con actividad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de cría en cautividad y reproducción artificial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Informe anual sobre comercio exterior CITES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Representación de España ante Partes, Secretaría y Comité europeo (art. 18)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Asistencia técnica a Aduanas, Guardia Civil y Vigilancia Aduanera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Las verificaciones previas al despacho aduanero: el papel del Servicio de Inspección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Disposición adicional primera del RD 986/2021: </w:t>
      </w:r>
      <w:r>
        <w:rPr>
          <w:rFonts w:ascii="Cambria" w:hAnsi="Cambria" w:cs="Cambria" w:eastAsia="Cambria"/>
          <w:b/>
          <w:sz w:val="22"/>
        </w:rPr>
        <w:t>AEAT</w:t>
      </w:r>
      <w:r>
        <w:rPr>
          <w:rFonts w:ascii="Cambria" w:hAnsi="Cambria" w:cs="Cambria" w:eastAsia="Cambria"/>
          <w:sz w:val="22"/>
        </w:rPr>
        <w:t xml:space="preserve"> realiza inspección y control en frontera, con la Autoridad Administrativa y la Científica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Encomienda de gestión</w:t>
      </w:r>
      <w:r>
        <w:rPr>
          <w:rFonts w:ascii="Cambria" w:hAnsi="Cambria" w:cs="Cambria" w:eastAsia="Cambria"/>
          <w:sz w:val="22"/>
        </w:rPr>
        <w:t xml:space="preserve"> (2023): ejecución por la </w:t>
      </w:r>
      <w:r>
        <w:rPr>
          <w:rFonts w:ascii="Cambria" w:hAnsi="Cambria" w:cs="Cambria" w:eastAsia="Cambria"/>
          <w:b/>
          <w:sz w:val="22"/>
        </w:rPr>
        <w:t>Secretaría de Estado de Comercio</w:t>
      </w:r>
      <w:r>
        <w:rPr>
          <w:rFonts w:ascii="Cambria" w:hAnsi="Cambria" w:cs="Cambria" w:eastAsia="Cambria"/>
          <w:sz w:val="22"/>
        </w:rPr>
        <w:t xml:space="preserve"> mediante los </w:t>
      </w:r>
      <w:r>
        <w:rPr>
          <w:rFonts w:ascii="Cambria" w:hAnsi="Cambria" w:cs="Cambria" w:eastAsia="Cambria"/>
          <w:b/>
          <w:sz w:val="22"/>
        </w:rPr>
        <w:t>Servicios de Inspección 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SOIVRE no es Autoridad Administrativa, pero hace verificaciones </w:t>
      </w:r>
      <w:r>
        <w:rPr>
          <w:rFonts w:ascii="Cambria" w:hAnsi="Cambria" w:cs="Cambria" w:eastAsia="Cambria"/>
          <w:b/>
          <w:sz w:val="22"/>
        </w:rPr>
        <w:t>físicas y documentales</w:t>
      </w:r>
      <w:r>
        <w:rPr>
          <w:rFonts w:ascii="Cambria" w:hAnsi="Cambria" w:cs="Cambria" w:eastAsia="Cambria"/>
          <w:sz w:val="22"/>
        </w:rPr>
        <w:t xml:space="preserve"> y emite el </w:t>
      </w:r>
      <w:r>
        <w:rPr>
          <w:rFonts w:ascii="Cambria" w:hAnsi="Cambria" w:cs="Cambria" w:eastAsia="Cambria"/>
          <w:b/>
          <w:sz w:val="22"/>
        </w:rPr>
        <w:t>DIESAC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DIESAC acredita ante Aduanas si hay especímenes de Apéndices o Anexos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Hasta el </w:t>
      </w:r>
      <w:r>
        <w:rPr>
          <w:rFonts w:ascii="Cambria" w:hAnsi="Cambria" w:cs="Cambria" w:eastAsia="Cambria"/>
          <w:b/>
          <w:sz w:val="22"/>
        </w:rPr>
        <w:t>28 de enero de 2027</w:t>
      </w:r>
      <w:r>
        <w:rPr>
          <w:rFonts w:ascii="Cambria" w:hAnsi="Cambria" w:cs="Cambria" w:eastAsia="Cambria"/>
          <w:sz w:val="22"/>
        </w:rPr>
        <w:t>: la renovación decide su continuidad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12 Servicios SOIVRE</w:t>
      </w:r>
      <w:r>
        <w:rPr>
          <w:rFonts w:ascii="Cambria" w:hAnsi="Cambria" w:cs="Cambria" w:eastAsia="Cambria"/>
          <w:sz w:val="22"/>
        </w:rPr>
        <w:t xml:space="preserve"> en Puntos de Inspección Fronteriza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Vigo, Barcelona, Bilbao, Alicante, Valencia, Sevilla, Málaga, Mallorca, Tenerife, Las Palmas, Algeciras, Madrid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Resto de Direcciones colaboradoras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Maderas CITES también por </w:t>
      </w:r>
      <w:r>
        <w:rPr>
          <w:rFonts w:ascii="Cambria" w:hAnsi="Cambria" w:cs="Cambria" w:eastAsia="Cambria"/>
          <w:b/>
          <w:sz w:val="22"/>
        </w:rPr>
        <w:t>Marín, Villagarcía de Arosa y Santander</w:t>
      </w:r>
      <w:r>
        <w:rPr>
          <w:rFonts w:ascii="Cambria" w:hAnsi="Cambria" w:cs="Cambria" w:eastAsia="Cambria"/>
          <w:sz w:val="22"/>
        </w:rPr>
        <w:t>: sin emitir documentos, con inspección y comprobación documental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Exigir documentación CITES antes del despacho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Diligenciar</w:t>
      </w:r>
      <w:r>
        <w:rPr>
          <w:rFonts w:ascii="Cambria" w:hAnsi="Cambria" w:cs="Cambria" w:eastAsia="Cambria"/>
          <w:sz w:val="22"/>
        </w:rPr>
        <w:t xml:space="preserve"> documentos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Emitir el </w:t>
      </w:r>
      <w:r>
        <w:rPr>
          <w:rFonts w:ascii="Cambria" w:hAnsi="Cambria" w:cs="Cambria" w:eastAsia="Cambria"/>
          <w:b/>
          <w:sz w:val="22"/>
        </w:rPr>
        <w:t>DIESAC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Inspección según </w:t>
      </w:r>
      <w:r>
        <w:rPr>
          <w:rFonts w:ascii="Cambria" w:hAnsi="Cambria" w:cs="Cambria" w:eastAsia="Cambria"/>
          <w:b/>
          <w:sz w:val="22"/>
        </w:rPr>
        <w:t>análisis de riesgos</w:t>
      </w:r>
      <w:r>
        <w:rPr>
          <w:rFonts w:ascii="Cambria" w:hAnsi="Cambria" w:cs="Cambria" w:eastAsia="Cambria"/>
          <w:sz w:val="22"/>
        </w:rPr>
        <w:t>, incluidos paquetes postales y viajeros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Incoar expediente por presunta infracción de </w:t>
      </w:r>
      <w:r>
        <w:rPr>
          <w:rFonts w:ascii="Cambria" w:hAnsi="Cambria" w:cs="Cambria" w:eastAsia="Cambria"/>
          <w:b/>
          <w:sz w:val="22"/>
        </w:rPr>
        <w:t>contrabando</w:t>
      </w:r>
      <w:r>
        <w:rPr>
          <w:rFonts w:ascii="Cambria" w:hAnsi="Cambria" w:cs="Cambria" w:eastAsia="Cambria"/>
          <w:sz w:val="22"/>
        </w:rPr>
        <w:t>: sanción y decomiso o vía judicial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6.3. La Autoridad Científica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Agencia Estatal CSIC</w:t>
      </w:r>
      <w:r>
        <w:rPr>
          <w:rFonts w:ascii="Cambria" w:hAnsi="Cambria" w:cs="Cambria" w:eastAsia="Cambria"/>
          <w:sz w:val="22"/>
        </w:rPr>
        <w:t>, Ministerio de Ciencia e Innovación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Dictámenes, a petición de la Autoridad Administrativa, sobre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Conservación en hábitat: importación de Anexos A o B, (re)exportación de A, B o 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Instalaciones para vivos del Anexo 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Traslado definitivo de decomisados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Integra el </w:t>
      </w:r>
      <w:r>
        <w:rPr>
          <w:rFonts w:ascii="Cambria" w:hAnsi="Cambria" w:cs="Cambria" w:eastAsia="Cambria"/>
          <w:b/>
          <w:sz w:val="22"/>
        </w:rPr>
        <w:t>Grupo de Revisión Científica</w:t>
      </w:r>
      <w:r>
        <w:rPr>
          <w:rFonts w:ascii="Cambria" w:hAnsi="Cambria" w:cs="Cambria" w:eastAsia="Cambria"/>
          <w:sz w:val="22"/>
        </w:rPr>
        <w:t xml:space="preserve">: dictámenes de </w:t>
      </w:r>
      <w:r>
        <w:rPr>
          <w:rFonts w:ascii="Cambria" w:hAnsi="Cambria" w:cs="Cambria" w:eastAsia="Cambria"/>
          <w:b/>
          <w:sz w:val="22"/>
        </w:rPr>
        <w:t>extracción no perjudicial</w:t>
      </w:r>
      <w:r>
        <w:rPr>
          <w:rFonts w:ascii="Cambria" w:hAnsi="Cambria" w:cs="Cambria" w:eastAsia="Cambria"/>
          <w:sz w:val="22"/>
        </w:rPr>
        <w:t>, formalizables en reglamento de suspensión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emite</w:t>
      </w:r>
      <w:r>
        <w:rPr>
          <w:rFonts w:ascii="Cambria" w:hAnsi="Cambria" w:cs="Cambria" w:eastAsia="Cambria"/>
          <w:sz w:val="22"/>
        </w:rPr>
        <w:t xml:space="preserve"> certificados ni permisos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6.4. Infracciones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Infracción administrativa</w:t>
      </w:r>
      <w:r>
        <w:rPr>
          <w:rFonts w:ascii="Cambria" w:hAnsi="Cambria" w:cs="Cambria" w:eastAsia="Cambria"/>
          <w:sz w:val="22"/>
        </w:rPr>
        <w:t>: legislación de conservación de flora y fauna y de contrabando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Delito</w:t>
      </w:r>
      <w:r>
        <w:rPr>
          <w:rFonts w:ascii="Cambria" w:hAnsi="Cambria" w:cs="Cambria" w:eastAsia="Cambria"/>
          <w:sz w:val="22"/>
        </w:rPr>
        <w:t>: Código Penal, contra la flora y la fauna, y contrabando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Marco UE sólido, más exigente que la Convención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RD 986/2021: Administrativa en MITECO, Científica en CSIC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 encomienda de 2023 mantiene el papel del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en el control físico y documental en frontera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Continuidad ligada a la renovación, vigente hasta el </w:t>
      </w:r>
      <w:r>
        <w:rPr>
          <w:rFonts w:ascii="Cambria" w:hAnsi="Cambria" w:cs="Cambria" w:eastAsia="Cambria"/>
          <w:b/>
          <w:sz w:val="22"/>
        </w:rPr>
        <w:t>28 de enero de 2027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27 – Aplicación del Convenio CITES en la Unión Europea. Reglamentación UE. Autoridades de aplicación en España: Autoridad Administrativa y Autoridad Científica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27 – Aplicación del Convenio CITES en la Unión Europea. Reglamentación UE. Autoridades de aplicación en España: Autoridad Administrativa y Autoridad Científica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