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  <w:r>
        <w:rPr>
          <w:rFonts w:ascii="Cambria" w:hAnsi="Cambria" w:cs="Cambria" w:eastAsia="Cambria"/>
          <w:sz w:val="22"/>
        </w:rPr>
        <w:t xml:space="preserve">: 16 laboratorios de ensayo periféricos + </w:t>
      </w: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(Madrid, desde 1989), en la Subdirección Gral. de Inspección, Certificación y Asistencia Técnica de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Acreditados según </w:t>
      </w:r>
      <w:r>
        <w:rPr>
          <w:rFonts w:ascii="Cambria" w:hAnsi="Cambria" w:cs="Cambria" w:eastAsia="Cambria"/>
          <w:b/>
          <w:sz w:val="22"/>
        </w:rPr>
        <w:t>UNE-EN ISO/IEC 17025:2017</w:t>
      </w:r>
      <w:r>
        <w:rPr>
          <w:rFonts w:ascii="Cambria" w:hAnsi="Cambria" w:cs="Cambria" w:eastAsia="Cambria"/>
          <w:sz w:val="22"/>
        </w:rPr>
        <w:t>: sistema de gestión de la calidad y requisitos de competencia en ensayos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único organismo con potestad pública para acreditar (</w:t>
      </w:r>
      <w:r>
        <w:rPr>
          <w:rFonts w:ascii="Cambria" w:hAnsi="Cambria" w:cs="Cambria" w:eastAsia="Cambria"/>
          <w:b/>
          <w:sz w:val="22"/>
        </w:rPr>
        <w:t>RD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Acuerdos Multilaterales de Reconocimiento (más de 120 países) en EA y Global ACI (fusión de ILAC e IAF desde 1-1-2026)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 del Laboratorio Central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Gestionar adquisiciones, asesorar en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metodologías,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Ejercicios de intercomparación, programa de acreditación, formación, apoyo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  <w:r>
        <w:rPr>
          <w:rFonts w:ascii="Cambria" w:hAnsi="Cambria" w:cs="Cambria" w:eastAsia="Cambria"/>
          <w:sz w:val="22"/>
        </w:rPr>
        <w:t>: medidas para conservar la fiabilidad del método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Interno</w:t>
      </w:r>
      <w:r>
        <w:rPr>
          <w:rFonts w:ascii="Cambria" w:hAnsi="Cambria" w:cs="Cambria" w:eastAsia="Cambria"/>
          <w:sz w:val="22"/>
        </w:rPr>
        <w:t xml:space="preserve"> (intralaboratorio): fases preanalítica (toma de muestras), analítica (validación, muestras de control, gráficos de control) y postanalítica (estadística y archivo)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Externo</w:t>
      </w:r>
      <w:r>
        <w:rPr>
          <w:rFonts w:ascii="Cambria" w:hAnsi="Cambria" w:cs="Cambria" w:eastAsia="Cambria"/>
          <w:sz w:val="22"/>
        </w:rPr>
        <w:t xml:space="preserve"> (interlaboratorio): pruebas de intercomparación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Objeto del tema: electroforesis e isoelectroenfoque, con especial atención a los especímenes </w:t>
      </w:r>
      <w:r>
        <w:rPr>
          <w:rFonts w:ascii="Cambria" w:hAnsi="Cambria" w:cs="Cambria" w:eastAsia="Cambria"/>
          <w:b/>
          <w:sz w:val="22"/>
        </w:rPr>
        <w:t>CITES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ELECTROFORESIS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Fundamento y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Técnica de separación de macromoléculas biológicas y coloides por su </w:t>
      </w:r>
      <w:r>
        <w:rPr>
          <w:rFonts w:ascii="Cambria" w:hAnsi="Cambria" w:cs="Cambria" w:eastAsia="Cambria"/>
          <w:b/>
          <w:sz w:val="22"/>
        </w:rPr>
        <w:t>carga eléctrica</w:t>
      </w:r>
      <w:r>
        <w:rPr>
          <w:rFonts w:ascii="Cambria" w:hAnsi="Cambria" w:cs="Cambria" w:eastAsia="Cambria"/>
          <w:sz w:val="22"/>
        </w:rPr>
        <w:t xml:space="preserve"> en un campo eléctrico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Origen de la carga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Ionización de la propia molécula (grupos amino y carboxilo de proteínas)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Frotamiento con el líquido (electrización por fricción)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Adsorción de iones del medio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Mezcla depositada sobre </w:t>
      </w:r>
      <w:r>
        <w:rPr>
          <w:rFonts w:ascii="Cambria" w:hAnsi="Cambria" w:cs="Cambria" w:eastAsia="Cambria"/>
          <w:b/>
          <w:sz w:val="22"/>
        </w:rPr>
        <w:t>soporte poroso</w:t>
      </w:r>
      <w:r>
        <w:rPr>
          <w:rFonts w:ascii="Cambria" w:hAnsi="Cambria" w:cs="Cambria" w:eastAsia="Cambria"/>
          <w:sz w:val="22"/>
        </w:rPr>
        <w:t xml:space="preserve"> empapado en disolución reguladora (electrolito)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Cada especie migra a velocidad distinta según carga y movilidad iónica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Tipos de electroforesis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Microelectroforesis</w:t>
      </w:r>
      <w:r>
        <w:rPr>
          <w:rFonts w:ascii="Cambria" w:hAnsi="Cambria" w:cs="Cambria" w:eastAsia="Cambria"/>
          <w:sz w:val="22"/>
        </w:rPr>
        <w:t xml:space="preserve">: observación al microscopio de partículas coloidales, determina </w:t>
      </w:r>
      <w:r>
        <w:rPr>
          <w:rFonts w:ascii="Cambria" w:hAnsi="Cambria" w:cs="Cambria" w:eastAsia="Cambria"/>
          <w:b/>
          <w:sz w:val="22"/>
        </w:rPr>
        <w:t>puntos isoeléctricos</w:t>
      </w:r>
      <w:r>
        <w:rPr>
          <w:rFonts w:ascii="Cambria" w:hAnsi="Cambria" w:cs="Cambria" w:eastAsia="Cambria"/>
          <w:sz w:val="22"/>
        </w:rPr>
        <w:t xml:space="preserve"> de anfolitos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Anfolito: carga neta dependiente del pH, nula en el punto isoeléctrico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 límite móvil (libre)</w:t>
      </w:r>
      <w:r>
        <w:rPr>
          <w:rFonts w:ascii="Cambria" w:hAnsi="Cambria" w:cs="Cambria" w:eastAsia="Cambria"/>
          <w:sz w:val="22"/>
        </w:rPr>
        <w:t>: tubo en U con solución coloidal, apenas se usa porque se remezcla por difusión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 zona</w:t>
      </w:r>
      <w:r>
        <w:rPr>
          <w:rFonts w:ascii="Cambria" w:hAnsi="Cambria" w:cs="Cambria" w:eastAsia="Cambria"/>
          <w:sz w:val="22"/>
        </w:rPr>
        <w:t>: la más utilizada, soporte sólido (papel, acetato de celulosa, agarosa) que estabiliza la separación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Inmunoelectroforesis</w:t>
      </w:r>
      <w:r>
        <w:rPr>
          <w:rFonts w:ascii="Cambria" w:hAnsi="Cambria" w:cs="Cambria" w:eastAsia="Cambria"/>
          <w:sz w:val="22"/>
        </w:rPr>
        <w:t>: cualitativa, electroforesis más inmunodifusión (antígeno-anticuerpo)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Preparativa</w:t>
      </w:r>
      <w:r>
        <w:rPr>
          <w:rFonts w:ascii="Cambria" w:hAnsi="Cambria" w:cs="Cambria" w:eastAsia="Cambria"/>
          <w:sz w:val="22"/>
        </w:rPr>
        <w:t>: continua, obtiene cantidades apreciables de proteínas y aminoácidos puros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ENFOQUE ISOELÉCTRICO O ISOELECTROENFOQUE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Fundamento y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Variante de la electroforesis sobre un </w:t>
      </w:r>
      <w:r>
        <w:rPr>
          <w:rFonts w:ascii="Cambria" w:hAnsi="Cambria" w:cs="Cambria" w:eastAsia="Cambria"/>
          <w:b/>
          <w:sz w:val="22"/>
        </w:rPr>
        <w:t>gradiente de pH continuo, estable y lineal</w:t>
      </w:r>
      <w:r>
        <w:rPr>
          <w:rFonts w:ascii="Cambria" w:hAnsi="Cambria" w:cs="Cambria" w:eastAsia="Cambria"/>
          <w:sz w:val="22"/>
        </w:rPr>
        <w:t xml:space="preserve"> (la electroforesis convencional usa pH y fuerza iónica constantes)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Cada anfolito migra hasta el pH igual a su </w:t>
      </w:r>
      <w:r>
        <w:rPr>
          <w:rFonts w:ascii="Cambria" w:hAnsi="Cambria" w:cs="Cambria" w:eastAsia="Cambria"/>
          <w:b/>
          <w:sz w:val="22"/>
        </w:rPr>
        <w:t>punto isoeléctrico</w:t>
      </w:r>
      <w:r>
        <w:rPr>
          <w:rFonts w:ascii="Cambria" w:hAnsi="Cambria" w:cs="Cambria" w:eastAsia="Cambria"/>
          <w:sz w:val="22"/>
        </w:rPr>
        <w:t>, carga neta cero, y se concentra en banda estrecha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pH bajo: grupos amino protonados, carga positiva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pH alto: carboxilos disociados, carga negativa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Punto isoeléctrico: constante fisicoquímica de la proteína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Formas de generar el gradiente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Anfolitos sintéticos</w:t>
      </w:r>
      <w:r>
        <w:rPr>
          <w:rFonts w:ascii="Cambria" w:hAnsi="Cambria" w:cs="Cambria" w:eastAsia="Cambria"/>
          <w:sz w:val="22"/>
        </w:rPr>
        <w:t xml:space="preserve"> (transportadores), los más usados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Mezclas de péptidos, ácidos o bases débiles, gradientes térmicos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Inmovilinas</w:t>
      </w:r>
      <w:r>
        <w:rPr>
          <w:rFonts w:ascii="Cambria" w:hAnsi="Cambria" w:cs="Cambria" w:eastAsia="Cambria"/>
          <w:sz w:val="22"/>
        </w:rPr>
        <w:t>: gradiente fijado en el gel durante la polimerización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Soportes: acetato de celulosa, geles de poliacrilamida, gradientes de densidad de sacarosa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Electroforesis bidimensional</w:t>
      </w:r>
      <w:r>
        <w:rPr>
          <w:rFonts w:ascii="Cambria" w:hAnsi="Cambria" w:cs="Cambria" w:eastAsia="Cambria"/>
          <w:sz w:val="22"/>
        </w:rPr>
        <w:t>: isoelectroenfoque más gel SDS, mayor resolución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MÉTODOS DE DETECCIÓN Y APLICACIONES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Métodos comunes a ambas técnicas, cualitativos y cuantitativos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Azul de Coomassie</w:t>
      </w:r>
      <w:r>
        <w:rPr>
          <w:rFonts w:ascii="Cambria" w:hAnsi="Cambria" w:cs="Cambria" w:eastAsia="Cambria"/>
          <w:sz w:val="22"/>
        </w:rPr>
        <w:t>: hasta 0,1 µg de proteína, cuantificación por densitometría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Métodos inmunológicos (complejos antígeno-anticuerpo)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Procedimientos enzimáticos (reactivos que reaccionan con enzimas separadas)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Métodos radiactivos (marcado previo con isótopo), cuantificación densitométrica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Alimentación: análisis de proteínas, aminoácidos (prolina en miel) y aminas biógenas (vinos)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Según tipo de electroforesis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Capa fina: aminoácidos y aminas biógenas en pescado, enzimas en judías verdes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Gel de poliacrilamida: proteínas de yema en clara de huevo, proteínas en carne y vino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Gel de almidón: proteínas del suero lácteo en leche en polvo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Isoelectroenfoque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Alimentación: especie de pescado envasado (inútil si hay proteínas desnaturalizadas, entonces ADN o ARN), tipo de leche en quesos, especie de carnes y embutidos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Agricultura: identificación de variedades vegetales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Taxonomía: varias muestras en idénticas condiciones, peces vivos, paternidad, manufacturas de especies </w:t>
      </w:r>
      <w:r>
        <w:rPr>
          <w:rFonts w:ascii="Cambria" w:hAnsi="Cambria" w:cs="Cambria" w:eastAsia="Cambria"/>
          <w:b/>
          <w:sz w:val="22"/>
        </w:rPr>
        <w:t>CITES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CONVENIO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Tratado de Naciones Unidas de 1973 contra la explotación no sostenible, instrumento de política comercial: conservación y uso sostenible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25 artículos</w:t>
      </w:r>
      <w:r>
        <w:rPr>
          <w:rFonts w:ascii="Cambria" w:hAnsi="Cambria" w:cs="Cambria" w:eastAsia="Cambria"/>
          <w:sz w:val="22"/>
        </w:rPr>
        <w:t>, firma en Washington 3-3-1973 (21 países), entrada en vigor 1-7-1975, origen en resolución de la UICN (Nairobi, 1963)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185 Partes</w:t>
      </w:r>
      <w:r>
        <w:rPr>
          <w:rFonts w:ascii="Cambria" w:hAnsi="Cambria" w:cs="Cambria" w:eastAsia="Cambria"/>
          <w:sz w:val="22"/>
        </w:rPr>
        <w:t xml:space="preserve"> (184 Estados + UE desde julio de 2015), España desde 16-5-1986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Contrabando de productos de alto valor (tigre, marfil)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Ocultación, presentación como especie no incluida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Falsa declaración de ejemplares vivos como criados en cautividad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Autoridades competentes y papel actual del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Aplicación en la UE por el </w:t>
      </w: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>: Autoridad Administrativa y Autoridad Científica por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986/2021</w:t>
      </w:r>
      <w:r>
        <w:rPr>
          <w:rFonts w:ascii="Cambria" w:hAnsi="Cambria" w:cs="Cambria" w:eastAsia="Cambria"/>
          <w:sz w:val="22"/>
        </w:rPr>
        <w:t>, en vigor desde 2-1-2022, deroga el RD 1739/1997 (que daba la Autoridad Administrativa al SOIVRE)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Autoridad Administrativa: Dirección General de Biodiversidad, Bosques y Desertificación (</w:t>
      </w:r>
      <w:r>
        <w:rPr>
          <w:rFonts w:ascii="Cambria" w:hAnsi="Cambria" w:cs="Cambria" w:eastAsia="Cambria"/>
          <w:b/>
          <w:sz w:val="22"/>
        </w:rPr>
        <w:t>MITECO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Autoridad Científica: </w:t>
      </w:r>
      <w:r>
        <w:rPr>
          <w:rFonts w:ascii="Cambria" w:hAnsi="Cambria" w:cs="Cambria" w:eastAsia="Cambria"/>
          <w:b/>
          <w:sz w:val="22"/>
        </w:rPr>
        <w:t>CSIC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SOIVRE mantiene por </w:t>
      </w:r>
      <w:r>
        <w:rPr>
          <w:rFonts w:ascii="Cambria" w:hAnsi="Cambria" w:cs="Cambria" w:eastAsia="Cambria"/>
          <w:b/>
          <w:sz w:val="22"/>
        </w:rPr>
        <w:t>encomienda de gestión</w:t>
      </w:r>
      <w:r>
        <w:rPr>
          <w:rFonts w:ascii="Cambria" w:hAnsi="Cambria" w:cs="Cambria" w:eastAsia="Cambria"/>
          <w:sz w:val="22"/>
        </w:rPr>
        <w:t xml:space="preserve"> (Resolución de 28-1-2023) las verificaciones en frontera y la expedición de </w:t>
      </w:r>
      <w:r>
        <w:rPr>
          <w:rFonts w:ascii="Cambria" w:hAnsi="Cambria" w:cs="Cambria" w:eastAsia="Cambria"/>
          <w:b/>
          <w:sz w:val="22"/>
        </w:rPr>
        <w:t>DIESAC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Cuatro años (hasta 28-1-2027), prorrogable hasta ocho (enero de 2031)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PCF</w:t>
      </w:r>
      <w:r>
        <w:rPr>
          <w:rFonts w:ascii="Cambria" w:hAnsi="Cambria" w:cs="Cambria" w:eastAsia="Cambria"/>
          <w:sz w:val="22"/>
        </w:rPr>
        <w:t xml:space="preserve"> (antes PIF) controlados por SOIVRE: Vigo, Barcelona, Bilbao, Alicante, Valencia, Sevilla, Málaga, Mallorca, Tenerife, Las Palmas, Algeciras, Madrid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Colaboradoras: Badajoz, Almería, Gijón, Irún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Identificar el espécimen para fijar Apéndice y Anexo, la observación visual no basta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PRUEBAS PARA LA IDENTIFICACIÓN DE ESPECIES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empieza por las pruebas de identificación genética o de consanguinidad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Técnicas de identificación genética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Citogenéticas</w:t>
      </w:r>
      <w:r>
        <w:rPr>
          <w:rFonts w:ascii="Cambria" w:hAnsi="Cambria" w:cs="Cambria" w:eastAsia="Cambria"/>
          <w:sz w:val="22"/>
        </w:rPr>
        <w:t>: estudian los cromosomas en conjunto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Moleculares</w:t>
      </w:r>
      <w:r>
        <w:rPr>
          <w:rFonts w:ascii="Cambria" w:hAnsi="Cambria" w:cs="Cambria" w:eastAsia="Cambria"/>
          <w:sz w:val="22"/>
        </w:rPr>
        <w:t>: estudian regiones concretas del ADN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Técnicas citogenéticas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Obtención del </w:t>
      </w:r>
      <w:r>
        <w:rPr>
          <w:rFonts w:ascii="Cambria" w:hAnsi="Cambria" w:cs="Cambria" w:eastAsia="Cambria"/>
          <w:b/>
          <w:sz w:val="22"/>
        </w:rPr>
        <w:t>cariotipo</w:t>
      </w:r>
      <w:r>
        <w:rPr>
          <w:rFonts w:ascii="Cambria" w:hAnsi="Cambria" w:cs="Cambria" w:eastAsia="Cambria"/>
          <w:sz w:val="22"/>
        </w:rPr>
        <w:t xml:space="preserve"> (mapa cromosómico ordenado por tamaño y morfología)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Cultivo in vitro de células, aislamiento de núcleos, tinción y microscopio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Permiten: sexo en especies sin dimorfismo, identificación taxonómica, diferenciar poblaciones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Limitaciones: especies distintas con igual cariotipo, individuos con más de uno, no permiten pruebas de consanguinidad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Técnicas moleculares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Base común: regiones no codificantes de repetición, longitud variable entre individuos, usadas como </w:t>
      </w:r>
      <w:r>
        <w:rPr>
          <w:rFonts w:ascii="Cambria" w:hAnsi="Cambria" w:cs="Cambria" w:eastAsia="Cambria"/>
          <w:b/>
          <w:sz w:val="22"/>
        </w:rPr>
        <w:t>marcadores genéticos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Huella genética (fingerprint)</w:t>
      </w:r>
      <w:r>
        <w:rPr>
          <w:rFonts w:ascii="Cambria" w:hAnsi="Cambria" w:cs="Cambria" w:eastAsia="Cambria"/>
          <w:sz w:val="22"/>
        </w:rPr>
        <w:t>: identifica especie e individuo y consanguinidad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Minisatélites</w:t>
      </w:r>
      <w:r>
        <w:rPr>
          <w:rFonts w:ascii="Cambria" w:hAnsi="Cambria" w:cs="Cambria" w:eastAsia="Cambria"/>
          <w:sz w:val="22"/>
        </w:rPr>
        <w:t>: repetición de 15 a 100 pares de bases, hasta unas 50 veces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Proceso: extracción con Proteinasa K, enzimas de restricción, electroforesis, membrana de nylon, sondas, autorradiografía (1 a 3 horas)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 poco ADN, previa </w:t>
      </w:r>
      <w:r>
        <w:rPr>
          <w:rFonts w:ascii="Cambria" w:hAnsi="Cambria" w:cs="Cambria" w:eastAsia="Cambria"/>
          <w:b/>
          <w:sz w:val="22"/>
        </w:rPr>
        <w:t>PCR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Limitaciones: mucho ADN de buena calidad, muestras en el mismo gel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Usos: forense, tráfico ilegal, paternidad, mezclas de especies en carnes (ADN mitocondrial)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Microsatélites</w:t>
      </w:r>
      <w:r>
        <w:rPr>
          <w:rFonts w:ascii="Cambria" w:hAnsi="Cambria" w:cs="Cambria" w:eastAsia="Cambria"/>
          <w:sz w:val="22"/>
        </w:rPr>
        <w:t>: repetición de 1 a 5 pares de bases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Poco ADN, incluso degradado (pelo, saliva, huesos, plumas, restos de hasta 100 años) gracias a la PCR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Primers, fragmentos marcados, electroforesis en poliacrilamida, bromuro de etidio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Específicos de especie, 8 a 12 sondas, lectura sencilla y rápida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6.4. Control de paternidad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Nacidos en cautividad del </w:t>
      </w:r>
      <w:r>
        <w:rPr>
          <w:rFonts w:ascii="Cambria" w:hAnsi="Cambria" w:cs="Cambria" w:eastAsia="Cambria"/>
          <w:b/>
          <w:sz w:val="22"/>
        </w:rPr>
        <w:t>Apéndice I</w:t>
      </w:r>
      <w:r>
        <w:rPr>
          <w:rFonts w:ascii="Cambria" w:hAnsi="Cambria" w:cs="Cambria" w:eastAsia="Cambria"/>
          <w:sz w:val="22"/>
        </w:rPr>
        <w:t xml:space="preserve"> se tratan como </w:t>
      </w:r>
      <w:r>
        <w:rPr>
          <w:rFonts w:ascii="Cambria" w:hAnsi="Cambria" w:cs="Cambria" w:eastAsia="Cambria"/>
          <w:b/>
          <w:sz w:val="22"/>
        </w:rPr>
        <w:t>Apéndice II</w:t>
      </w:r>
      <w:r>
        <w:rPr>
          <w:rFonts w:ascii="Cambria" w:hAnsi="Cambria" w:cs="Cambria" w:eastAsia="Cambria"/>
          <w:sz w:val="22"/>
        </w:rPr>
        <w:t xml:space="preserve"> a efectos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Fraude habitual: ejemplares silvestres presentados como criados en cautividad (expolio de nidos de rapaces)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6.5. Determinación de la especie por el estudio del pelo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Características del pelo y patrón de distribución en el cuerpo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Montaje con xileno o flo-tex, 10 aumentos o microscopio, corte transversal (pigmento, cutícula, médula), comparación con referencias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Caso </w:t>
      </w:r>
      <w:r>
        <w:rPr>
          <w:rFonts w:ascii="Cambria" w:hAnsi="Cambria" w:cs="Cambria" w:eastAsia="Cambria"/>
          <w:b/>
          <w:sz w:val="22"/>
        </w:rPr>
        <w:t>Pantholops hodgsonii</w:t>
      </w:r>
      <w:r>
        <w:rPr>
          <w:rFonts w:ascii="Cambria" w:hAnsi="Cambria" w:cs="Cambria" w:eastAsia="Cambria"/>
          <w:sz w:val="22"/>
        </w:rPr>
        <w:t xml:space="preserve"> (chirú): lana shahtoosh, distinguir de pashmina (cabra doméstica) y merina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6.6. Identificación de huevos de tortuga marina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Huevos limpios y secos: peso y diámetro mayor con calibrador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Comparación de número, rangos y medias de la puesta con datos de referencia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6.7. Identificación del marfil y sus sustitutos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Características macroscópicas, microscópicas, físicas y químicas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Líneas de Schreger</w:t>
      </w:r>
      <w:r>
        <w:rPr>
          <w:rFonts w:ascii="Cambria" w:hAnsi="Cambria" w:cs="Cambria" w:eastAsia="Cambria"/>
          <w:sz w:val="22"/>
        </w:rPr>
        <w:t xml:space="preserve"> (cortes pulidos de dentina): ángulos agudos en marfil fósil, obtusos en actual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Menos de 100º fósil, más de 100º actual, solapamiento entre 90º y 115º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Prueba destructiva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Luz ultravioleta</w:t>
      </w:r>
      <w:r>
        <w:rPr>
          <w:rFonts w:ascii="Cambria" w:hAnsi="Cambria" w:cs="Cambria" w:eastAsia="Cambria"/>
          <w:sz w:val="22"/>
        </w:rPr>
        <w:t>: vivianita del mamut, púrpura aterciopelada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barniz de piezas talladas confunde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Sucedáneos: espectroscopia de infrarrojos por Transformada de Fourier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marfil auténtico no arde, se consume lentamente con olor a cuerno quemado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6.8. Determinación del caviar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Huevo de esturión, ADN mitocondrial, </w:t>
      </w:r>
      <w:r>
        <w:rPr>
          <w:rFonts w:ascii="Cambria" w:hAnsi="Cambria" w:cs="Cambria" w:eastAsia="Cambria"/>
          <w:b/>
          <w:sz w:val="22"/>
        </w:rPr>
        <w:t>PCR</w:t>
      </w:r>
      <w:r>
        <w:rPr>
          <w:rFonts w:ascii="Cambria" w:hAnsi="Cambria" w:cs="Cambria" w:eastAsia="Cambria"/>
          <w:sz w:val="22"/>
        </w:rPr>
        <w:t xml:space="preserve"> del gen del </w:t>
      </w:r>
      <w:r>
        <w:rPr>
          <w:rFonts w:ascii="Cambria" w:hAnsi="Cambria" w:cs="Cambria" w:eastAsia="Cambria"/>
          <w:b/>
          <w:sz w:val="22"/>
        </w:rPr>
        <w:t>citocromo b</w:t>
      </w:r>
      <w:r>
        <w:rPr>
          <w:rFonts w:ascii="Cambria" w:hAnsi="Cambria" w:cs="Cambria" w:eastAsia="Cambria"/>
          <w:sz w:val="22"/>
        </w:rPr>
        <w:t xml:space="preserve"> y comparación con especies conocidas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6.9. Test inmunológicos de identificación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Determinan familia o género, solo a veces especie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Detectan más de un animal en una muestra de carne o sangre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Difusión en gel de agarosa frente a anticuerpos de antisuero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Inmunoelectroforesis: antígeno y anticuerpo migran uno hacia otro y precipitan en banda visible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6.10. Inmunoblot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Albúmina</w:t>
      </w:r>
      <w:r>
        <w:rPr>
          <w:rFonts w:ascii="Cambria" w:hAnsi="Cambria" w:cs="Cambria" w:eastAsia="Cambria"/>
          <w:sz w:val="22"/>
        </w:rPr>
        <w:t xml:space="preserve"> como indicador monoespecífico: proteína más abundante del suero, estable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Isoelectroenfoque en rangos estrechos de pH sobre geles finos de poliacrilamida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Bandas transferidas a membrana y reveladas con anticuerpos específicos (la albúmina no tiene actividad enzimática)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6.11. Identificación de plantas por su ADN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Prueba en juicio por comercio ilegal de árboles de palo verde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Primers, </w:t>
      </w:r>
      <w:r>
        <w:rPr>
          <w:rFonts w:ascii="Cambria" w:hAnsi="Cambria" w:cs="Cambria" w:eastAsia="Cambria"/>
          <w:b/>
          <w:sz w:val="22"/>
        </w:rPr>
        <w:t>PCR</w:t>
      </w:r>
      <w:r>
        <w:rPr>
          <w:rFonts w:ascii="Cambria" w:hAnsi="Cambria" w:cs="Cambria" w:eastAsia="Cambria"/>
          <w:sz w:val="22"/>
        </w:rPr>
        <w:t>, separación en agarosa o poliacrilamida, bromuro de etidio o plata (o fluorescencia)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Exactitud dependiente de ADN diana, longitud del primer y temperatura: condiciones estrictas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6.12. Identificación de maderas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Caracteres macroscópicos: color, olor, dureza, densidad, anillos, textura, duramen y albura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Peso específico</w:t>
      </w:r>
      <w:r>
        <w:rPr>
          <w:rFonts w:ascii="Cambria" w:hAnsi="Cambria" w:cs="Cambria" w:eastAsia="Cambria"/>
          <w:sz w:val="22"/>
        </w:rPr>
        <w:t xml:space="preserve"> (peso/volumen), según humedad: anhidro </w:t>
      </w:r>
      <w:r>
        <w:rPr>
          <w:rFonts w:ascii="Cambria" w:hAnsi="Cambria" w:cs="Cambria" w:eastAsia="Cambria"/>
          <w:b/>
          <w:sz w:val="22"/>
        </w:rPr>
        <w:t>P0</w:t>
      </w:r>
      <w:r>
        <w:rPr>
          <w:rFonts w:ascii="Cambria" w:hAnsi="Cambria" w:cs="Cambria" w:eastAsia="Cambria"/>
          <w:sz w:val="22"/>
        </w:rPr>
        <w:t xml:space="preserve"> (0 %) y normal </w:t>
      </w:r>
      <w:r>
        <w:rPr>
          <w:rFonts w:ascii="Cambria" w:hAnsi="Cambria" w:cs="Cambria" w:eastAsia="Cambria"/>
          <w:b/>
          <w:sz w:val="22"/>
        </w:rPr>
        <w:t>P12</w:t>
      </w:r>
      <w:r>
        <w:rPr>
          <w:rFonts w:ascii="Cambria" w:hAnsi="Cambria" w:cs="Cambria" w:eastAsia="Cambria"/>
          <w:sz w:val="22"/>
        </w:rPr>
        <w:t xml:space="preserve"> (12 %)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Volumen: estereométrico o desplazamiento (el más usado)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Mercurio, volumen aparente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Helio, volumen real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Microscopía: cortes transversal, tangencial y radial, prueba pericial habitual en infracciones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Circuito Verde</w:t>
      </w:r>
      <w:r>
        <w:rPr>
          <w:rFonts w:ascii="Cambria" w:hAnsi="Cambria" w:cs="Cambria" w:eastAsia="Cambria"/>
          <w:sz w:val="22"/>
        </w:rPr>
        <w:t xml:space="preserve"> sin controles físicos sistemáticos: vía de entrada de maderas fraudulentas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6.13. Otras identificaciones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Bilis de Ursidae: sales biliares, cromatografía en capa fina o columna y HPLC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Huesos de Panthera tigris: hidroxiapatita, infrarrojos por Transformada de Fourier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Almizcle: cromatografía de gases y espectrometría de masas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Pieles de reptiles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Serpentes</w:t>
      </w:r>
      <w:r>
        <w:rPr>
          <w:rFonts w:ascii="Cambria" w:hAnsi="Cambria" w:cs="Cambria" w:eastAsia="Cambria"/>
          <w:sz w:val="22"/>
        </w:rPr>
        <w:t>: escamas dorsales en fila diagonal, ventrales, forma y dibujo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Crocodylia</w:t>
      </w:r>
      <w:r>
        <w:rPr>
          <w:rFonts w:ascii="Cambria" w:hAnsi="Cambria" w:cs="Cambria" w:eastAsia="Cambria"/>
          <w:sz w:val="22"/>
        </w:rPr>
        <w:t>: escudos ventrales, filas entre collar y cloaca, escamas granulares del flanco en Caiman crocodilus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Sauria</w:t>
      </w:r>
      <w:r>
        <w:rPr>
          <w:rFonts w:ascii="Cambria" w:hAnsi="Cambria" w:cs="Cambria" w:eastAsia="Cambria"/>
          <w:sz w:val="22"/>
        </w:rPr>
        <w:t>: uniones de escamas ventrales y laterales (varánidos)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Las técnicas citogenéticas, moleculares, inmunológicas y morfológicas respaldan el control CITES más allá de la observación visual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Autoridades en MITECO y CSIC desde 2021, el SOIVRE conserva el papel operativo por la encomienda vigente (controles y DIESAC)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Exige conocer el marco competencial vigente y las técnicas, frente a un fraude comercial millonario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40 – Técnicas de identificación de especies. Técnicas moleculares, electroforesis y enfoque isoeléctrico. Fundamento y aplicaciones. Especial referencia al control de especímenes sujetos al Convenio CITES y fraude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40 – Técnicas de identificación de especies. Técnicas moleculares, electroforesis y enfoque isoeléctrico. Fundamento y aplicaciones. Especial referencia al control de especímenes sujetos al Convenio CITES y fraude comercial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