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cs="Cambria" w:eastAsia="Cambria"/>
          <w:b/>
          <w:color w:val="0F4761"/>
          <w:sz w:val="28"/>
        </w:rPr>
        <w:t>1. INTRODUCCIÓN</w:t>
      </w:r>
    </w:p>
    <w:p>
      <w:pPr>
        <w:pStyle w:val="ListBullet"/>
        <w:ind w:left="357"/>
        <w:jc w:val="both"/>
      </w:pPr>
      <w:r>
        <w:rPr>
          <w:rFonts w:ascii="Cambria" w:hAnsi="Cambria" w:cs="Cambria" w:eastAsia="Cambria"/>
          <w:b/>
          <w:sz w:val="22"/>
        </w:rPr>
        <w:t>Normalización</w:t>
      </w:r>
      <w:r>
        <w:rPr>
          <w:rFonts w:ascii="Cambria" w:hAnsi="Cambria" w:cs="Cambria" w:eastAsia="Cambria"/>
          <w:sz w:val="22"/>
        </w:rPr>
        <w:t>: actividad voluntaria, por consenso, de y para las partes interesadas, en organismos independientes y reconocidos, para adoptar normas de cumplimiento voluntario</w:t>
      </w:r>
    </w:p>
    <w:p>
      <w:pPr>
        <w:pStyle w:val="ListBullet"/>
        <w:ind w:left="357"/>
        <w:jc w:val="both"/>
      </w:pPr>
      <w:r>
        <w:rPr>
          <w:rFonts w:ascii="Cambria" w:hAnsi="Cambria" w:cs="Cambria" w:eastAsia="Cambria"/>
          <w:b/>
          <w:sz w:val="22"/>
        </w:rPr>
        <w:t>Norma</w:t>
      </w:r>
      <w:r>
        <w:rPr>
          <w:rFonts w:ascii="Cambria" w:hAnsi="Cambria" w:cs="Cambria" w:eastAsia="Cambria"/>
          <w:sz w:val="22"/>
        </w:rPr>
        <w:t xml:space="preserve"> (Acuerdo </w:t>
      </w:r>
      <w:r>
        <w:rPr>
          <w:rFonts w:ascii="Cambria" w:hAnsi="Cambria" w:cs="Cambria" w:eastAsia="Cambria"/>
          <w:b/>
          <w:sz w:val="22"/>
        </w:rPr>
        <w:t>TBT</w:t>
      </w:r>
      <w:r>
        <w:rPr>
          <w:rFonts w:ascii="Cambria" w:hAnsi="Cambria" w:cs="Cambria" w:eastAsia="Cambria"/>
          <w:sz w:val="22"/>
        </w:rPr>
        <w:t xml:space="preserve"> de la OMC): documento aprobado por institución reconocida, de uso común y repetido, de observancia </w:t>
      </w:r>
      <w:r>
        <w:rPr>
          <w:rFonts w:ascii="Cambria" w:hAnsi="Cambria" w:cs="Cambria" w:eastAsia="Cambria"/>
          <w:b/>
          <w:sz w:val="22"/>
        </w:rPr>
        <w:t>no obligatoria</w:t>
      </w:r>
    </w:p>
    <w:p>
      <w:pPr>
        <w:pStyle w:val="ListBullet"/>
        <w:ind w:left="357"/>
        <w:jc w:val="both"/>
      </w:pPr>
      <w:r>
        <w:rPr>
          <w:rFonts w:ascii="Cambria" w:hAnsi="Cambria" w:cs="Cambria" w:eastAsia="Cambria"/>
          <w:sz w:val="22"/>
        </w:rPr>
        <w:t>Lenguaje común entre fabricantes, administraciones, comercializadores y consumidores. Su no seguimiento crea obstáculos al comercio</w:t>
      </w:r>
    </w:p>
    <w:p>
      <w:pPr>
        <w:pStyle w:val="ListBullet"/>
        <w:ind w:left="357"/>
        <w:jc w:val="both"/>
      </w:pPr>
      <w:r>
        <w:rPr>
          <w:rFonts w:ascii="Cambria" w:hAnsi="Cambria" w:cs="Cambria" w:eastAsia="Cambria"/>
          <w:sz w:val="22"/>
        </w:rPr>
        <w:t>Más internacional cuanto más países participan en su elaboración. Escalones:</w:t>
      </w:r>
    </w:p>
    <w:p>
      <w:pPr>
        <w:pStyle w:val="ListBullet2"/>
        <w:ind w:left="720"/>
        <w:jc w:val="both"/>
      </w:pPr>
      <w:r>
        <w:rPr>
          <w:rFonts w:ascii="Cambria" w:hAnsi="Cambria" w:cs="Cambria" w:eastAsia="Cambria"/>
          <w:b/>
          <w:sz w:val="22"/>
        </w:rPr>
        <w:t>Las tres hermanas</w:t>
      </w:r>
      <w:r>
        <w:rPr>
          <w:rFonts w:ascii="Cambria" w:hAnsi="Cambria" w:cs="Cambria" w:eastAsia="Cambria"/>
          <w:sz w:val="22"/>
        </w:rPr>
        <w:t xml:space="preserve">: </w:t>
      </w:r>
      <w:r>
        <w:rPr>
          <w:rFonts w:ascii="Cambria" w:hAnsi="Cambria" w:cs="Cambria" w:eastAsia="Cambria"/>
          <w:b/>
          <w:sz w:val="22"/>
        </w:rPr>
        <w:t>CODEX Alimentarius</w:t>
      </w:r>
      <w:r>
        <w:rPr>
          <w:rFonts w:ascii="Cambria" w:hAnsi="Cambria" w:cs="Cambria" w:eastAsia="Cambria"/>
          <w:sz w:val="22"/>
        </w:rPr>
        <w:t xml:space="preserve">, </w:t>
      </w:r>
      <w:r>
        <w:rPr>
          <w:rFonts w:ascii="Cambria" w:hAnsi="Cambria" w:cs="Cambria" w:eastAsia="Cambria"/>
          <w:b/>
          <w:sz w:val="22"/>
        </w:rPr>
        <w:t>OMSA</w:t>
      </w:r>
      <w:r>
        <w:rPr>
          <w:rFonts w:ascii="Cambria" w:hAnsi="Cambria" w:cs="Cambria" w:eastAsia="Cambria"/>
          <w:sz w:val="22"/>
        </w:rPr>
        <w:t xml:space="preserve"> (antigua OIE), </w:t>
      </w:r>
      <w:r>
        <w:rPr>
          <w:rFonts w:ascii="Cambria" w:hAnsi="Cambria" w:cs="Cambria" w:eastAsia="Cambria"/>
          <w:b/>
          <w:sz w:val="22"/>
        </w:rPr>
        <w:t>CIPF</w:t>
      </w:r>
      <w:r>
        <w:rPr>
          <w:rFonts w:ascii="Cambria" w:hAnsi="Cambria" w:cs="Cambria" w:eastAsia="Cambria"/>
          <w:sz w:val="22"/>
        </w:rPr>
        <w:t xml:space="preserve"> de la FAO. Reconocidas por el Acuerdo </w:t>
      </w:r>
      <w:r>
        <w:rPr>
          <w:rFonts w:ascii="Cambria" w:hAnsi="Cambria" w:cs="Cambria" w:eastAsia="Cambria"/>
          <w:b/>
          <w:sz w:val="22"/>
        </w:rPr>
        <w:t>SPS</w:t>
      </w:r>
    </w:p>
    <w:p>
      <w:pPr>
        <w:pStyle w:val="ListBullet2"/>
        <w:ind w:left="720"/>
        <w:jc w:val="both"/>
      </w:pPr>
      <w:r>
        <w:rPr>
          <w:rFonts w:ascii="Cambria" w:hAnsi="Cambria" w:cs="Cambria" w:eastAsia="Cambria"/>
          <w:b/>
          <w:sz w:val="22"/>
        </w:rPr>
        <w:t>ISO</w:t>
      </w:r>
      <w:r>
        <w:rPr>
          <w:rFonts w:ascii="Cambria" w:hAnsi="Cambria" w:cs="Cambria" w:eastAsia="Cambria"/>
          <w:sz w:val="22"/>
        </w:rPr>
        <w:t>: referencia permanente en el Acuerdo TBT</w:t>
      </w:r>
    </w:p>
    <w:p>
      <w:pPr>
        <w:pStyle w:val="ListBullet2"/>
        <w:ind w:left="720"/>
        <w:jc w:val="both"/>
      </w:pPr>
      <w:r>
        <w:rPr>
          <w:rFonts w:ascii="Cambria" w:hAnsi="Cambria" w:cs="Cambria" w:eastAsia="Cambria"/>
          <w:b/>
          <w:sz w:val="22"/>
        </w:rPr>
        <w:t>CEPE/NU</w:t>
      </w:r>
      <w:r>
        <w:rPr>
          <w:rFonts w:ascii="Cambria" w:hAnsi="Cambria" w:cs="Cambria" w:eastAsia="Cambria"/>
          <w:sz w:val="22"/>
        </w:rPr>
        <w:t xml:space="preserve"> (base de las normas de calidad agroalimentarias de la UE), OCDE, UE</w:t>
      </w:r>
    </w:p>
    <w:p>
      <w:pPr>
        <w:pStyle w:val="ListBullet2"/>
        <w:ind w:left="720"/>
        <w:jc w:val="both"/>
      </w:pPr>
      <w:r>
        <w:rPr>
          <w:rFonts w:ascii="Cambria" w:hAnsi="Cambria" w:cs="Cambria" w:eastAsia="Cambria"/>
          <w:b/>
          <w:sz w:val="22"/>
        </w:rPr>
        <w:t>Regionales</w:t>
      </w:r>
      <w:r>
        <w:rPr>
          <w:rFonts w:ascii="Cambria" w:hAnsi="Cambria" w:cs="Cambria" w:eastAsia="Cambria"/>
          <w:sz w:val="22"/>
        </w:rPr>
        <w:t xml:space="preserve">: COPANT, ARSO, ACCSQ. En Europa </w:t>
      </w:r>
      <w:r>
        <w:rPr>
          <w:rFonts w:ascii="Cambria" w:hAnsi="Cambria" w:cs="Cambria" w:eastAsia="Cambria"/>
          <w:b/>
          <w:sz w:val="22"/>
        </w:rPr>
        <w:t>CEN, CENELEC, ETSI</w:t>
      </w:r>
      <w:r>
        <w:rPr>
          <w:rFonts w:ascii="Cambria" w:hAnsi="Cambria" w:cs="Cambria" w:eastAsia="Cambria"/>
          <w:sz w:val="22"/>
        </w:rPr>
        <w:t xml:space="preserve"> (en España </w:t>
      </w:r>
      <w:r>
        <w:rPr>
          <w:rFonts w:ascii="Cambria" w:hAnsi="Cambria" w:cs="Cambria" w:eastAsia="Cambria"/>
          <w:b/>
          <w:sz w:val="22"/>
        </w:rPr>
        <w:t>AENOR</w:t>
      </w:r>
      <w:r>
        <w:rPr>
          <w:rFonts w:ascii="Cambria" w:hAnsi="Cambria" w:cs="Cambria" w:eastAsia="Cambria"/>
          <w:sz w:val="22"/>
        </w:rPr>
        <w:t>), clave en productos industriales y Nuevo Enfoque</w:t>
      </w:r>
    </w:p>
    <w:p>
      <w:pPr>
        <w:pStyle w:val="ListBullet"/>
        <w:ind w:left="357"/>
        <w:jc w:val="both"/>
      </w:pPr>
      <w:r>
        <w:rPr>
          <w:rFonts w:ascii="Cambria" w:hAnsi="Cambria" w:cs="Cambria" w:eastAsia="Cambria"/>
          <w:sz w:val="22"/>
        </w:rPr>
        <w:t>Acuerdo TBT: los Miembros de la OMC deben usar normas internacionales cuando existan</w:t>
      </w:r>
    </w:p>
    <w:p>
      <w:pPr>
        <w:pStyle w:val="Heading1"/>
      </w:pPr>
      <w:r>
        <w:rPr>
          <w:rFonts w:ascii="Cambria" w:hAnsi="Cambria" w:cs="Cambria" w:eastAsia="Cambria"/>
          <w:b/>
          <w:color w:val="0F4761"/>
          <w:sz w:val="28"/>
        </w:rPr>
        <w:t>2. NORMALIZACIÓN EN LA UE</w:t>
      </w:r>
    </w:p>
    <w:p>
      <w:pPr>
        <w:pStyle w:val="ListBullet"/>
        <w:ind w:left="357"/>
        <w:jc w:val="both"/>
      </w:pPr>
      <w:r>
        <w:rPr>
          <w:rFonts w:ascii="Cambria" w:hAnsi="Cambria" w:cs="Cambria" w:eastAsia="Cambria"/>
          <w:sz w:val="22"/>
        </w:rPr>
        <w:t xml:space="preserve">Política en línea con los Acuerdos </w:t>
      </w:r>
      <w:r>
        <w:rPr>
          <w:rFonts w:ascii="Cambria" w:hAnsi="Cambria" w:cs="Cambria" w:eastAsia="Cambria"/>
          <w:b/>
          <w:sz w:val="22"/>
        </w:rPr>
        <w:t>TBT</w:t>
      </w:r>
      <w:r>
        <w:rPr>
          <w:rFonts w:ascii="Cambria" w:hAnsi="Cambria" w:cs="Cambria" w:eastAsia="Cambria"/>
          <w:sz w:val="22"/>
        </w:rPr>
        <w:t xml:space="preserve"> y </w:t>
      </w:r>
      <w:r>
        <w:rPr>
          <w:rFonts w:ascii="Cambria" w:hAnsi="Cambria" w:cs="Cambria" w:eastAsia="Cambria"/>
          <w:b/>
          <w:sz w:val="22"/>
        </w:rPr>
        <w:t>SPS</w:t>
      </w:r>
    </w:p>
    <w:p>
      <w:pPr>
        <w:pStyle w:val="ListBullet"/>
        <w:ind w:left="357"/>
        <w:jc w:val="both"/>
      </w:pPr>
      <w:r>
        <w:rPr>
          <w:rFonts w:ascii="Cambria" w:hAnsi="Cambria" w:cs="Cambria" w:eastAsia="Cambria"/>
          <w:b/>
          <w:sz w:val="22"/>
        </w:rPr>
        <w:t>Mercado Único Europeo</w:t>
      </w:r>
      <w:r>
        <w:rPr>
          <w:rFonts w:ascii="Cambria" w:hAnsi="Cambria" w:cs="Cambria" w:eastAsia="Cambria"/>
          <w:sz w:val="22"/>
        </w:rPr>
        <w:t xml:space="preserve">: en vigor el </w:t>
      </w:r>
      <w:r>
        <w:rPr>
          <w:rFonts w:ascii="Cambria" w:hAnsi="Cambria" w:cs="Cambria" w:eastAsia="Cambria"/>
          <w:b/>
          <w:sz w:val="22"/>
        </w:rPr>
        <w:t>1 de enero de 1993</w:t>
      </w:r>
      <w:r>
        <w:rPr>
          <w:rFonts w:ascii="Cambria" w:hAnsi="Cambria" w:cs="Cambria" w:eastAsia="Cambria"/>
          <w:sz w:val="22"/>
        </w:rPr>
        <w:t>. Armonización legislativa y de normas técnicas</w:t>
      </w:r>
    </w:p>
    <w:p>
      <w:pPr>
        <w:pStyle w:val="ListBullet"/>
        <w:ind w:left="357"/>
        <w:jc w:val="both"/>
      </w:pPr>
      <w:r>
        <w:rPr>
          <w:rFonts w:ascii="Cambria" w:hAnsi="Cambria" w:cs="Cambria" w:eastAsia="Cambria"/>
          <w:sz w:val="22"/>
        </w:rPr>
        <w:t xml:space="preserve">Pieza esencial del mercado interior: con el </w:t>
      </w:r>
      <w:r>
        <w:rPr>
          <w:rFonts w:ascii="Cambria" w:hAnsi="Cambria" w:cs="Cambria" w:eastAsia="Cambria"/>
          <w:b/>
          <w:sz w:val="22"/>
        </w:rPr>
        <w:t>reconocimiento mutuo</w:t>
      </w:r>
      <w:r>
        <w:rPr>
          <w:rFonts w:ascii="Cambria" w:hAnsi="Cambria" w:cs="Cambria" w:eastAsia="Cambria"/>
          <w:sz w:val="22"/>
        </w:rPr>
        <w:t xml:space="preserve"> garantiza la libre circulación de mercancías</w:t>
      </w:r>
    </w:p>
    <w:p>
      <w:pPr>
        <w:pStyle w:val="ListBullet"/>
        <w:ind w:left="357"/>
        <w:jc w:val="both"/>
      </w:pPr>
      <w:r>
        <w:rPr>
          <w:rFonts w:ascii="Cambria" w:hAnsi="Cambria" w:cs="Cambria" w:eastAsia="Cambria"/>
          <w:sz w:val="22"/>
        </w:rPr>
        <w:t>Refuerza la competitividad de la industria europea y su papel en el comercio internacional</w:t>
      </w:r>
    </w:p>
    <w:p>
      <w:pPr>
        <w:pStyle w:val="Heading1"/>
      </w:pPr>
      <w:r>
        <w:rPr>
          <w:rFonts w:ascii="Cambria" w:hAnsi="Cambria" w:cs="Cambria" w:eastAsia="Cambria"/>
          <w:b/>
          <w:color w:val="0F4761"/>
          <w:sz w:val="28"/>
        </w:rPr>
        <w:t>3. NORMALIZACIÓN EN EL ÁMBITO AGROALIMENTARIO</w:t>
      </w:r>
    </w:p>
    <w:p>
      <w:pPr>
        <w:pStyle w:val="ListBullet"/>
        <w:ind w:left="357"/>
        <w:jc w:val="both"/>
      </w:pPr>
      <w:r>
        <w:rPr>
          <w:rFonts w:ascii="Cambria" w:hAnsi="Cambria" w:cs="Cambria" w:eastAsia="Cambria"/>
          <w:sz w:val="22"/>
        </w:rPr>
        <w:t xml:space="preserve">Antes, cada OCM sectorial fijaba normas obligatorias. Hoy la </w:t>
      </w:r>
      <w:r>
        <w:rPr>
          <w:rFonts w:ascii="Cambria" w:hAnsi="Cambria" w:cs="Cambria" w:eastAsia="Cambria"/>
          <w:b/>
          <w:sz w:val="22"/>
        </w:rPr>
        <w:t>OCM Única</w:t>
      </w:r>
      <w:r>
        <w:rPr>
          <w:rFonts w:ascii="Cambria" w:hAnsi="Cambria" w:cs="Cambria" w:eastAsia="Cambria"/>
          <w:sz w:val="22"/>
        </w:rPr>
        <w:t xml:space="preserve"> abarca prácticamente todos los productos, antes en </w:t>
      </w:r>
      <w:r>
        <w:rPr>
          <w:rFonts w:ascii="Cambria" w:hAnsi="Cambria" w:cs="Cambria" w:eastAsia="Cambria"/>
          <w:b/>
          <w:sz w:val="22"/>
        </w:rPr>
        <w:t>21 OCM</w:t>
      </w:r>
    </w:p>
    <w:p>
      <w:pPr>
        <w:pStyle w:val="ListBullet"/>
        <w:ind w:left="357"/>
        <w:jc w:val="both"/>
      </w:pPr>
      <w:r>
        <w:rPr>
          <w:rFonts w:ascii="Cambria" w:hAnsi="Cambria" w:cs="Cambria" w:eastAsia="Cambria"/>
          <w:sz w:val="22"/>
        </w:rPr>
        <w:t>Frutas y hortalizas: sector con mayor desarrollo normalizador</w:t>
      </w:r>
    </w:p>
    <w:p>
      <w:pPr>
        <w:pStyle w:val="ListBullet"/>
        <w:ind w:left="357"/>
        <w:jc w:val="both"/>
      </w:pPr>
      <w:r>
        <w:rPr>
          <w:rFonts w:ascii="Cambria" w:hAnsi="Cambria" w:cs="Cambria" w:eastAsia="Cambria"/>
          <w:sz w:val="22"/>
        </w:rPr>
        <w:t>Objetivo: rentabilidad, adaptar la producción al consumidor y excluir productos no satisfactorios</w:t>
      </w:r>
    </w:p>
    <w:p>
      <w:pPr>
        <w:pStyle w:val="Heading2"/>
      </w:pPr>
      <w:r>
        <w:rPr>
          <w:rFonts w:ascii="Cambria" w:hAnsi="Cambria" w:cs="Cambria" w:eastAsia="Cambria"/>
          <w:b/>
          <w:color w:val="0F4761"/>
          <w:sz w:val="24"/>
        </w:rPr>
        <w:t>3.1. Las OCM</w:t>
      </w:r>
    </w:p>
    <w:p>
      <w:pPr>
        <w:pStyle w:val="ListBullet"/>
        <w:ind w:left="357"/>
        <w:jc w:val="both"/>
      </w:pPr>
      <w:r>
        <w:rPr>
          <w:rFonts w:ascii="Cambria" w:hAnsi="Cambria" w:cs="Cambria" w:eastAsia="Cambria"/>
          <w:sz w:val="22"/>
        </w:rPr>
        <w:t xml:space="preserve">Reglas y mecanismos de la UE para producción y comercio. Dos grandes OCM: </w:t>
      </w:r>
      <w:r>
        <w:rPr>
          <w:rFonts w:ascii="Cambria" w:hAnsi="Cambria" w:cs="Cambria" w:eastAsia="Cambria"/>
          <w:b/>
          <w:sz w:val="22"/>
        </w:rPr>
        <w:t>PAC</w:t>
      </w:r>
      <w:r>
        <w:rPr>
          <w:rFonts w:ascii="Cambria" w:hAnsi="Cambria" w:cs="Cambria" w:eastAsia="Cambria"/>
          <w:sz w:val="22"/>
        </w:rPr>
        <w:t xml:space="preserve"> y </w:t>
      </w:r>
      <w:r>
        <w:rPr>
          <w:rFonts w:ascii="Cambria" w:hAnsi="Cambria" w:cs="Cambria" w:eastAsia="Cambria"/>
          <w:b/>
          <w:sz w:val="22"/>
        </w:rPr>
        <w:t>PPC</w:t>
      </w:r>
    </w:p>
    <w:p>
      <w:pPr>
        <w:pStyle w:val="ListBullet"/>
        <w:ind w:left="357"/>
        <w:jc w:val="both"/>
      </w:pPr>
      <w:r>
        <w:rPr>
          <w:rFonts w:ascii="Cambria" w:hAnsi="Cambria" w:cs="Cambria" w:eastAsia="Cambria"/>
          <w:b/>
          <w:sz w:val="22"/>
        </w:rPr>
        <w:t>OCM Única</w:t>
      </w:r>
      <w:r>
        <w:rPr>
          <w:rFonts w:ascii="Cambria" w:hAnsi="Cambria" w:cs="Cambria" w:eastAsia="Cambria"/>
          <w:sz w:val="22"/>
        </w:rPr>
        <w:t xml:space="preserve"> (frutas y hortalizas), tres principios:</w:t>
      </w:r>
    </w:p>
    <w:p>
      <w:pPr>
        <w:pStyle w:val="ListBullet2"/>
        <w:ind w:left="720"/>
        <w:jc w:val="both"/>
      </w:pPr>
      <w:r>
        <w:rPr>
          <w:rFonts w:ascii="Cambria" w:hAnsi="Cambria" w:cs="Cambria" w:eastAsia="Cambria"/>
          <w:b/>
          <w:sz w:val="22"/>
        </w:rPr>
        <w:t>Unidad de mercado</w:t>
      </w:r>
      <w:r>
        <w:rPr>
          <w:rFonts w:ascii="Cambria" w:hAnsi="Cambria" w:cs="Cambria" w:eastAsia="Cambria"/>
          <w:sz w:val="22"/>
        </w:rPr>
        <w:t>: libre circulación, armonización, competencia común, protección en frontera exterior</w:t>
      </w:r>
    </w:p>
    <w:p>
      <w:pPr>
        <w:pStyle w:val="ListBullet2"/>
        <w:ind w:left="720"/>
        <w:jc w:val="both"/>
      </w:pPr>
      <w:r>
        <w:rPr>
          <w:rFonts w:ascii="Cambria" w:hAnsi="Cambria" w:cs="Cambria" w:eastAsia="Cambria"/>
          <w:b/>
          <w:sz w:val="22"/>
        </w:rPr>
        <w:t>Preferencia comunitaria</w:t>
      </w:r>
      <w:r>
        <w:rPr>
          <w:rFonts w:ascii="Cambria" w:hAnsi="Cambria" w:cs="Cambria" w:eastAsia="Cambria"/>
          <w:sz w:val="22"/>
        </w:rPr>
        <w:t>: protección arancelaria frente a terceros</w:t>
      </w:r>
    </w:p>
    <w:p>
      <w:pPr>
        <w:pStyle w:val="ListBullet2"/>
        <w:ind w:left="720"/>
        <w:jc w:val="both"/>
      </w:pPr>
      <w:r>
        <w:rPr>
          <w:rFonts w:ascii="Cambria" w:hAnsi="Cambria" w:cs="Cambria" w:eastAsia="Cambria"/>
          <w:b/>
          <w:sz w:val="22"/>
        </w:rPr>
        <w:t>Solidaridad financiera</w:t>
      </w:r>
      <w:r>
        <w:rPr>
          <w:rFonts w:ascii="Cambria" w:hAnsi="Cambria" w:cs="Cambria" w:eastAsia="Cambria"/>
          <w:sz w:val="22"/>
        </w:rPr>
        <w:t>: costes compartidos por los Estados Miembros</w:t>
      </w:r>
    </w:p>
    <w:p>
      <w:pPr>
        <w:pStyle w:val="ListBullet"/>
        <w:ind w:left="357"/>
        <w:jc w:val="both"/>
      </w:pPr>
      <w:r>
        <w:rPr>
          <w:rFonts w:ascii="Cambria" w:hAnsi="Cambria" w:cs="Cambria" w:eastAsia="Cambria"/>
          <w:b/>
          <w:sz w:val="22"/>
        </w:rPr>
        <w:t>PAC</w:t>
      </w:r>
      <w:r>
        <w:rPr>
          <w:rFonts w:ascii="Cambria" w:hAnsi="Cambria" w:cs="Cambria" w:eastAsia="Cambria"/>
          <w:sz w:val="22"/>
        </w:rPr>
        <w:t xml:space="preserve">: en vigor en </w:t>
      </w:r>
      <w:r>
        <w:rPr>
          <w:rFonts w:ascii="Cambria" w:hAnsi="Cambria" w:cs="Cambria" w:eastAsia="Cambria"/>
          <w:b/>
          <w:sz w:val="22"/>
        </w:rPr>
        <w:t>1962</w:t>
      </w:r>
      <w:r>
        <w:rPr>
          <w:rFonts w:ascii="Cambria" w:hAnsi="Cambria" w:cs="Cambria" w:eastAsia="Cambria"/>
          <w:sz w:val="22"/>
        </w:rPr>
        <w:t>. Ejes: competitividad de los agricultores y desarrollo rural</w:t>
      </w:r>
    </w:p>
    <w:p>
      <w:pPr>
        <w:pStyle w:val="ListBullet"/>
        <w:ind w:left="357"/>
        <w:jc w:val="both"/>
      </w:pPr>
      <w:r>
        <w:rPr>
          <w:rFonts w:ascii="Cambria" w:hAnsi="Cambria" w:cs="Cambria" w:eastAsia="Cambria"/>
          <w:b/>
          <w:sz w:val="22"/>
        </w:rPr>
        <w:t>2008</w:t>
      </w:r>
      <w:r>
        <w:rPr>
          <w:rFonts w:ascii="Cambria" w:hAnsi="Cambria" w:cs="Cambria" w:eastAsia="Cambria"/>
          <w:sz w:val="22"/>
        </w:rPr>
        <w:t xml:space="preserve">: de una OCM por sector a una </w:t>
      </w:r>
      <w:r>
        <w:rPr>
          <w:rFonts w:ascii="Cambria" w:hAnsi="Cambria" w:cs="Cambria" w:eastAsia="Cambria"/>
          <w:b/>
          <w:sz w:val="22"/>
        </w:rPr>
        <w:t>OCM Única</w:t>
      </w:r>
      <w:r>
        <w:rPr>
          <w:rFonts w:ascii="Cambria" w:hAnsi="Cambria" w:cs="Cambria" w:eastAsia="Cambria"/>
          <w:sz w:val="22"/>
        </w:rPr>
        <w:t>, manteniendo los principios de la PAC</w:t>
      </w:r>
    </w:p>
    <w:p>
      <w:pPr>
        <w:pStyle w:val="ListBullet2"/>
        <w:ind w:left="720"/>
        <w:jc w:val="both"/>
      </w:pPr>
      <w:r>
        <w:rPr>
          <w:rFonts w:ascii="Cambria" w:hAnsi="Cambria" w:cs="Cambria" w:eastAsia="Cambria"/>
          <w:sz w:val="22"/>
        </w:rPr>
        <w:t>Regula intervenciones públicas, cuotas y ayudas, intercambios con terceros países, normas de comercialización y de producción</w:t>
      </w:r>
    </w:p>
    <w:p>
      <w:pPr>
        <w:pStyle w:val="ListBullet"/>
        <w:ind w:left="357"/>
        <w:jc w:val="both"/>
      </w:pPr>
      <w:r>
        <w:rPr>
          <w:rFonts w:ascii="Cambria" w:hAnsi="Cambria" w:cs="Cambria" w:eastAsia="Cambria"/>
          <w:b/>
          <w:sz w:val="22"/>
        </w:rPr>
        <w:t>OCM de la pesca y la acuicultura</w:t>
      </w:r>
      <w:r>
        <w:rPr>
          <w:rFonts w:ascii="Cambria" w:hAnsi="Cambria" w:cs="Cambria" w:eastAsia="Cambria"/>
          <w:sz w:val="22"/>
        </w:rPr>
        <w:t xml:space="preserve">: creada en </w:t>
      </w:r>
      <w:r>
        <w:rPr>
          <w:rFonts w:ascii="Cambria" w:hAnsi="Cambria" w:cs="Cambria" w:eastAsia="Cambria"/>
          <w:b/>
          <w:sz w:val="22"/>
        </w:rPr>
        <w:t>1970</w:t>
      </w:r>
      <w:r>
        <w:rPr>
          <w:rFonts w:ascii="Cambria" w:hAnsi="Cambria" w:cs="Cambria" w:eastAsia="Cambria"/>
          <w:sz w:val="22"/>
        </w:rPr>
        <w:t xml:space="preserve">, primer elemento de la </w:t>
      </w:r>
      <w:r>
        <w:rPr>
          <w:rFonts w:ascii="Cambria" w:hAnsi="Cambria" w:cs="Cambria" w:eastAsia="Cambria"/>
          <w:b/>
          <w:sz w:val="22"/>
        </w:rPr>
        <w:t>PPC</w:t>
      </w:r>
    </w:p>
    <w:p>
      <w:pPr>
        <w:pStyle w:val="ListBullet2"/>
        <w:ind w:left="720"/>
        <w:jc w:val="both"/>
      </w:pPr>
      <w:r>
        <w:rPr>
          <w:rFonts w:ascii="Cambria" w:hAnsi="Cambria" w:cs="Cambria" w:eastAsia="Cambria"/>
          <w:sz w:val="22"/>
        </w:rPr>
        <w:t>Objetivos PPC: protección frente a la sobrepesca, renta de pescadores, suministro regular, explotación sostenible</w:t>
      </w:r>
    </w:p>
    <w:p>
      <w:pPr>
        <w:pStyle w:val="ListBullet2"/>
        <w:ind w:left="720"/>
        <w:jc w:val="both"/>
      </w:pPr>
      <w:r>
        <w:rPr>
          <w:rFonts w:ascii="Cambria" w:hAnsi="Cambria" w:cs="Cambria" w:eastAsia="Cambria"/>
          <w:sz w:val="22"/>
        </w:rPr>
        <w:t>Normas de comercialización: categoría de calidad, tamaño o peso, embalaje, presentación, etiquetado</w:t>
      </w:r>
    </w:p>
    <w:p>
      <w:pPr>
        <w:pStyle w:val="ListBullet2"/>
        <w:ind w:left="720"/>
        <w:jc w:val="both"/>
      </w:pPr>
      <w:r>
        <w:rPr>
          <w:rFonts w:ascii="Cambria" w:hAnsi="Cambria" w:cs="Cambria" w:eastAsia="Cambria"/>
          <w:sz w:val="22"/>
        </w:rPr>
        <w:t>Información al consumidor: especie, método de producción, zona de captura</w:t>
      </w:r>
    </w:p>
    <w:p>
      <w:pPr>
        <w:pStyle w:val="ListBullet2"/>
        <w:ind w:left="720"/>
        <w:jc w:val="both"/>
      </w:pPr>
      <w:r>
        <w:rPr>
          <w:rFonts w:ascii="Cambria" w:hAnsi="Cambria" w:cs="Cambria" w:eastAsia="Cambria"/>
          <w:sz w:val="22"/>
        </w:rPr>
        <w:t>Los Estados Miembros controlan la conformidad</w:t>
      </w:r>
    </w:p>
    <w:p>
      <w:pPr>
        <w:pStyle w:val="Heading2"/>
      </w:pPr>
      <w:r>
        <w:rPr>
          <w:rFonts w:ascii="Cambria" w:hAnsi="Cambria" w:cs="Cambria" w:eastAsia="Cambria"/>
          <w:b/>
          <w:color w:val="0F4761"/>
          <w:sz w:val="24"/>
        </w:rPr>
        <w:t>3.2. Base jurídica de la normalización de frutas y hortalizas</w:t>
      </w:r>
    </w:p>
    <w:p>
      <w:pPr>
        <w:pStyle w:val="ListBullet"/>
        <w:ind w:left="357"/>
        <w:jc w:val="both"/>
      </w:pPr>
      <w:r>
        <w:rPr>
          <w:rFonts w:ascii="Cambria" w:hAnsi="Cambria" w:cs="Cambria" w:eastAsia="Cambria"/>
          <w:b/>
          <w:sz w:val="22"/>
        </w:rPr>
        <w:t>Reglamento (UE) 1308/2013</w:t>
      </w:r>
      <w:r>
        <w:rPr>
          <w:rFonts w:ascii="Cambria" w:hAnsi="Cambria" w:cs="Cambria" w:eastAsia="Cambria"/>
          <w:sz w:val="22"/>
        </w:rPr>
        <w:t>, OCM Única</w:t>
      </w:r>
    </w:p>
    <w:p>
      <w:pPr>
        <w:pStyle w:val="ListBullet2"/>
        <w:ind w:left="720"/>
        <w:jc w:val="both"/>
      </w:pPr>
      <w:r>
        <w:rPr>
          <w:rFonts w:ascii="Cambria" w:hAnsi="Cambria" w:cs="Cambria" w:eastAsia="Cambria"/>
          <w:sz w:val="22"/>
        </w:rPr>
        <w:t xml:space="preserve">Art. 1: Anexo I Parte IX (frutas y hortalizas), X (transformados), XI (plátanos). Capítulos </w:t>
      </w:r>
      <w:r>
        <w:rPr>
          <w:rFonts w:ascii="Cambria" w:hAnsi="Cambria" w:cs="Cambria" w:eastAsia="Cambria"/>
          <w:b/>
          <w:sz w:val="22"/>
        </w:rPr>
        <w:t>07 y 08</w:t>
      </w:r>
      <w:r>
        <w:rPr>
          <w:rFonts w:ascii="Cambria" w:hAnsi="Cambria" w:cs="Cambria" w:eastAsia="Cambria"/>
          <w:sz w:val="22"/>
        </w:rPr>
        <w:t xml:space="preserve"> del SA, patatas no reguladas</w:t>
      </w:r>
    </w:p>
    <w:p>
      <w:pPr>
        <w:pStyle w:val="ListBullet2"/>
        <w:ind w:left="720"/>
        <w:jc w:val="both"/>
      </w:pPr>
      <w:r>
        <w:rPr>
          <w:rFonts w:ascii="Cambria" w:hAnsi="Cambria" w:cs="Cambria" w:eastAsia="Cambria"/>
          <w:b/>
          <w:sz w:val="22"/>
        </w:rPr>
        <w:t>Art. 75</w:t>
      </w:r>
      <w:r>
        <w:rPr>
          <w:rFonts w:ascii="Cambria" w:hAnsi="Cambria" w:cs="Cambria" w:eastAsia="Cambria"/>
          <w:sz w:val="22"/>
        </w:rPr>
        <w:t>: poderes de la Comisión para actos delegados sobre normas de comercialización y excepciones</w:t>
      </w:r>
    </w:p>
    <w:p>
      <w:pPr>
        <w:pStyle w:val="ListBullet"/>
        <w:ind w:left="357"/>
        <w:jc w:val="both"/>
      </w:pPr>
      <w:r>
        <w:rPr>
          <w:rFonts w:ascii="Cambria" w:hAnsi="Cambria" w:cs="Cambria" w:eastAsia="Cambria"/>
          <w:sz w:val="22"/>
        </w:rPr>
        <w:t xml:space="preserve">Desarrollo vigente, aplicable desde el </w:t>
      </w:r>
      <w:r>
        <w:rPr>
          <w:rFonts w:ascii="Cambria" w:hAnsi="Cambria" w:cs="Cambria" w:eastAsia="Cambria"/>
          <w:b/>
          <w:sz w:val="22"/>
        </w:rPr>
        <w:t>1 de enero de 2025</w:t>
      </w:r>
      <w:r>
        <w:rPr>
          <w:rFonts w:ascii="Cambria" w:hAnsi="Cambria" w:cs="Cambria" w:eastAsia="Cambria"/>
          <w:sz w:val="22"/>
        </w:rPr>
        <w:t>:</w:t>
      </w:r>
    </w:p>
    <w:p>
      <w:pPr>
        <w:pStyle w:val="ListBullet2"/>
        <w:ind w:left="720"/>
        <w:jc w:val="both"/>
      </w:pPr>
      <w:r>
        <w:rPr>
          <w:rFonts w:ascii="Cambria" w:hAnsi="Cambria" w:cs="Cambria" w:eastAsia="Cambria"/>
          <w:b/>
          <w:sz w:val="22"/>
        </w:rPr>
        <w:t>Reglamento Delegado (UE) 2023/2429</w:t>
      </w:r>
      <w:r>
        <w:rPr>
          <w:rFonts w:ascii="Cambria" w:hAnsi="Cambria" w:cs="Cambria" w:eastAsia="Cambria"/>
          <w:sz w:val="22"/>
        </w:rPr>
        <w:t>, normas de comercialización de frutas y hortalizas, transformados y plátanos</w:t>
      </w:r>
    </w:p>
    <w:p>
      <w:pPr>
        <w:pStyle w:val="ListBullet2"/>
        <w:ind w:left="720"/>
        <w:jc w:val="both"/>
      </w:pPr>
      <w:r>
        <w:rPr>
          <w:rFonts w:ascii="Cambria" w:hAnsi="Cambria" w:cs="Cambria" w:eastAsia="Cambria"/>
          <w:b/>
          <w:sz w:val="22"/>
        </w:rPr>
        <w:t>Reglamento de Ejecución (UE) 2023/2430</w:t>
      </w:r>
      <w:r>
        <w:rPr>
          <w:rFonts w:ascii="Cambria" w:hAnsi="Cambria" w:cs="Cambria" w:eastAsia="Cambria"/>
          <w:sz w:val="22"/>
        </w:rPr>
        <w:t>, controles de conformidad y notificaciones</w:t>
      </w:r>
    </w:p>
    <w:p>
      <w:pPr>
        <w:pStyle w:val="ListBullet2"/>
        <w:ind w:left="720"/>
        <w:jc w:val="both"/>
      </w:pPr>
      <w:r>
        <w:rPr>
          <w:rFonts w:ascii="Cambria" w:hAnsi="Cambria" w:cs="Cambria" w:eastAsia="Cambria"/>
          <w:sz w:val="22"/>
        </w:rPr>
        <w:t xml:space="preserve">Derogan </w:t>
      </w:r>
      <w:r>
        <w:rPr>
          <w:rFonts w:ascii="Cambria" w:hAnsi="Cambria" w:cs="Cambria" w:eastAsia="Cambria"/>
          <w:b/>
          <w:sz w:val="22"/>
        </w:rPr>
        <w:t>543/2011</w:t>
      </w:r>
      <w:r>
        <w:rPr>
          <w:rFonts w:ascii="Cambria" w:hAnsi="Cambria" w:cs="Cambria" w:eastAsia="Cambria"/>
          <w:sz w:val="22"/>
        </w:rPr>
        <w:t xml:space="preserve">, </w:t>
      </w:r>
      <w:r>
        <w:rPr>
          <w:rFonts w:ascii="Cambria" w:hAnsi="Cambria" w:cs="Cambria" w:eastAsia="Cambria"/>
          <w:b/>
          <w:sz w:val="22"/>
        </w:rPr>
        <w:t>1333/2011</w:t>
      </w:r>
      <w:r>
        <w:rPr>
          <w:rFonts w:ascii="Cambria" w:hAnsi="Cambria" w:cs="Cambria" w:eastAsia="Cambria"/>
          <w:sz w:val="22"/>
        </w:rPr>
        <w:t xml:space="preserve"> y </w:t>
      </w:r>
      <w:r>
        <w:rPr>
          <w:rFonts w:ascii="Cambria" w:hAnsi="Cambria" w:cs="Cambria" w:eastAsia="Cambria"/>
          <w:b/>
          <w:sz w:val="22"/>
        </w:rPr>
        <w:t>1666/1999</w:t>
      </w:r>
    </w:p>
    <w:p>
      <w:pPr>
        <w:pStyle w:val="ListBullet"/>
        <w:ind w:left="357"/>
        <w:jc w:val="both"/>
      </w:pPr>
      <w:r>
        <w:rPr>
          <w:rFonts w:ascii="Cambria" w:hAnsi="Cambria" w:cs="Cambria" w:eastAsia="Cambria"/>
          <w:sz w:val="22"/>
        </w:rPr>
        <w:t xml:space="preserve">Colaboración UE y </w:t>
      </w:r>
      <w:r>
        <w:rPr>
          <w:rFonts w:ascii="Cambria" w:hAnsi="Cambria" w:cs="Cambria" w:eastAsia="Cambria"/>
          <w:b/>
          <w:sz w:val="22"/>
        </w:rPr>
        <w:t>CEPE/NU</w:t>
      </w:r>
      <w:r>
        <w:rPr>
          <w:rFonts w:ascii="Cambria" w:hAnsi="Cambria" w:cs="Cambria" w:eastAsia="Cambria"/>
          <w:sz w:val="22"/>
        </w:rPr>
        <w:t xml:space="preserve"> (Grupo de Trabajo sobre Normas de Calidad Agrícola)</w:t>
      </w:r>
    </w:p>
    <w:p>
      <w:pPr>
        <w:pStyle w:val="ListBullet2"/>
        <w:ind w:left="720"/>
        <w:jc w:val="both"/>
      </w:pPr>
      <w:r>
        <w:rPr>
          <w:rFonts w:ascii="Cambria" w:hAnsi="Cambria" w:cs="Cambria" w:eastAsia="Cambria"/>
          <w:sz w:val="22"/>
        </w:rPr>
        <w:t xml:space="preserve">Normas UE prácticamente idénticas. Siguen la </w:t>
      </w:r>
      <w:r>
        <w:rPr>
          <w:rFonts w:ascii="Cambria" w:hAnsi="Cambria" w:cs="Cambria" w:eastAsia="Cambria"/>
          <w:b/>
          <w:sz w:val="22"/>
        </w:rPr>
        <w:t>Norma-Cuadro</w:t>
      </w:r>
      <w:r>
        <w:rPr>
          <w:rFonts w:ascii="Cambria" w:hAnsi="Cambria" w:cs="Cambria" w:eastAsia="Cambria"/>
          <w:sz w:val="22"/>
        </w:rPr>
        <w:t xml:space="preserve"> y el </w:t>
      </w:r>
      <w:r>
        <w:rPr>
          <w:rFonts w:ascii="Cambria" w:hAnsi="Cambria" w:cs="Cambria" w:eastAsia="Cambria"/>
          <w:b/>
          <w:sz w:val="22"/>
        </w:rPr>
        <w:t>Geneve Understanding</w:t>
      </w:r>
    </w:p>
    <w:p>
      <w:pPr>
        <w:pStyle w:val="ListBullet2"/>
        <w:ind w:left="720"/>
        <w:jc w:val="both"/>
      </w:pPr>
      <w:r>
        <w:rPr>
          <w:rFonts w:ascii="Cambria" w:hAnsi="Cambria" w:cs="Cambria" w:eastAsia="Cambria"/>
          <w:sz w:val="22"/>
        </w:rPr>
        <w:t>Regulan calidad, categorías, peso, calibre, envase, transporte, presentación, origen, etiquetado</w:t>
      </w:r>
    </w:p>
    <w:p>
      <w:pPr>
        <w:pStyle w:val="ListBullet"/>
        <w:ind w:left="357"/>
        <w:jc w:val="both"/>
      </w:pPr>
      <w:r>
        <w:rPr>
          <w:rFonts w:ascii="Cambria" w:hAnsi="Cambria" w:cs="Cambria" w:eastAsia="Cambria"/>
          <w:b/>
          <w:sz w:val="22"/>
        </w:rPr>
        <w:t>Obligatorias</w:t>
      </w:r>
      <w:r>
        <w:rPr>
          <w:rFonts w:ascii="Cambria" w:hAnsi="Cambria" w:cs="Cambria" w:eastAsia="Cambria"/>
          <w:sz w:val="22"/>
        </w:rPr>
        <w:t xml:space="preserve">, en todas las fases, incluidas importación y exportación. Responsable: el </w:t>
      </w:r>
      <w:r>
        <w:rPr>
          <w:rFonts w:ascii="Cambria" w:hAnsi="Cambria" w:cs="Cambria" w:eastAsia="Cambria"/>
          <w:b/>
          <w:sz w:val="22"/>
        </w:rPr>
        <w:t>tenedor</w:t>
      </w:r>
    </w:p>
    <w:p>
      <w:pPr>
        <w:pStyle w:val="ListBullet"/>
        <w:ind w:left="357"/>
        <w:jc w:val="both"/>
      </w:pPr>
      <w:r>
        <w:rPr>
          <w:rFonts w:ascii="Cambria" w:hAnsi="Cambria" w:cs="Cambria" w:eastAsia="Cambria"/>
          <w:sz w:val="22"/>
        </w:rPr>
        <w:t>Dos tipos:</w:t>
      </w:r>
    </w:p>
    <w:p>
      <w:pPr>
        <w:pStyle w:val="ListBullet2"/>
        <w:ind w:left="720"/>
        <w:jc w:val="both"/>
      </w:pPr>
      <w:r>
        <w:rPr>
          <w:rFonts w:ascii="Cambria" w:hAnsi="Cambria" w:cs="Cambria" w:eastAsia="Cambria"/>
          <w:b/>
          <w:sz w:val="22"/>
        </w:rPr>
        <w:t>Norma general</w:t>
      </w:r>
      <w:r>
        <w:rPr>
          <w:rFonts w:ascii="Cambria" w:hAnsi="Cambria" w:cs="Cambria" w:eastAsia="Cambria"/>
          <w:sz w:val="22"/>
        </w:rPr>
        <w:t>: productos sin norma específica. Conforme a la norma CEPE/NU aplicable, conforme</w:t>
      </w:r>
    </w:p>
    <w:p>
      <w:pPr>
        <w:pStyle w:val="ListBullet2"/>
        <w:ind w:left="720"/>
        <w:jc w:val="both"/>
      </w:pPr>
      <w:r>
        <w:rPr>
          <w:rFonts w:ascii="Cambria" w:hAnsi="Cambria" w:cs="Cambria" w:eastAsia="Cambria"/>
          <w:b/>
          <w:sz w:val="22"/>
        </w:rPr>
        <w:t>10 normas específicas</w:t>
      </w:r>
      <w:r>
        <w:rPr>
          <w:rFonts w:ascii="Cambria" w:hAnsi="Cambria" w:cs="Cambria" w:eastAsia="Cambria"/>
          <w:sz w:val="22"/>
        </w:rPr>
        <w:t xml:space="preserve">: manzanas, cítricos, kiwis, lechugas y escarolas, melocotones y nectarinas, peras, fresas, pimientos dulces, uvas de mesa, tomates (antes de 2008, </w:t>
      </w:r>
      <w:r>
        <w:rPr>
          <w:rFonts w:ascii="Cambria" w:hAnsi="Cambria" w:cs="Cambria" w:eastAsia="Cambria"/>
          <w:b/>
          <w:sz w:val="22"/>
        </w:rPr>
        <w:t>34</w:t>
      </w:r>
      <w:r>
        <w:rPr>
          <w:rFonts w:ascii="Cambria" w:hAnsi="Cambria" w:cs="Cambria" w:eastAsia="Cambria"/>
          <w:sz w:val="22"/>
        </w:rPr>
        <w:t>)</w:t>
      </w:r>
    </w:p>
    <w:p>
      <w:pPr>
        <w:pStyle w:val="ListBullet2"/>
        <w:ind w:left="720"/>
        <w:jc w:val="both"/>
      </w:pPr>
      <w:r>
        <w:rPr>
          <w:rFonts w:ascii="Cambria" w:hAnsi="Cambria" w:cs="Cambria" w:eastAsia="Cambria"/>
          <w:sz w:val="22"/>
        </w:rPr>
        <w:t>Plátanos integrados en el Reglamento Delegado 2023/2429</w:t>
      </w:r>
    </w:p>
    <w:p>
      <w:pPr>
        <w:pStyle w:val="ListBullet"/>
        <w:ind w:left="357"/>
        <w:jc w:val="both"/>
      </w:pPr>
      <w:r>
        <w:rPr>
          <w:rFonts w:ascii="Cambria" w:hAnsi="Cambria" w:cs="Cambria" w:eastAsia="Cambria"/>
          <w:sz w:val="22"/>
        </w:rPr>
        <w:t xml:space="preserve">Cumplen el </w:t>
      </w:r>
      <w:r>
        <w:rPr>
          <w:rFonts w:ascii="Cambria" w:hAnsi="Cambria" w:cs="Cambria" w:eastAsia="Cambria"/>
          <w:b/>
          <w:sz w:val="22"/>
        </w:rPr>
        <w:t>principio de no discriminación</w:t>
      </w:r>
      <w:r>
        <w:rPr>
          <w:rFonts w:ascii="Cambria" w:hAnsi="Cambria" w:cs="Cambria" w:eastAsia="Cambria"/>
          <w:sz w:val="22"/>
        </w:rPr>
        <w:t xml:space="preserve"> de TBT y SPS</w:t>
      </w:r>
    </w:p>
    <w:p>
      <w:pPr>
        <w:pStyle w:val="ListBullet"/>
        <w:ind w:left="357"/>
        <w:jc w:val="both"/>
      </w:pPr>
      <w:r>
        <w:rPr>
          <w:rFonts w:ascii="Cambria" w:hAnsi="Cambria" w:cs="Cambria" w:eastAsia="Cambria"/>
          <w:sz w:val="22"/>
        </w:rPr>
        <w:t>Controles de los Estados Miembros: selectivos, por análisis de riesgos, antes de la salida de la región de producción. Terceros países: antes del despacho a libre práctica</w:t>
      </w:r>
    </w:p>
    <w:p>
      <w:pPr>
        <w:pStyle w:val="Heading2"/>
      </w:pPr>
      <w:r>
        <w:rPr>
          <w:rFonts w:ascii="Cambria" w:hAnsi="Cambria" w:cs="Cambria" w:eastAsia="Cambria"/>
          <w:b/>
          <w:color w:val="0F4761"/>
          <w:sz w:val="24"/>
        </w:rPr>
        <w:t>3.3. Sistema de elaboración y adopción de las normas de comercialización en el sector de frutas y hortalizas</w:t>
      </w:r>
    </w:p>
    <w:p>
      <w:pPr>
        <w:pStyle w:val="ListBullet"/>
        <w:ind w:left="357"/>
        <w:jc w:val="both"/>
      </w:pPr>
      <w:r>
        <w:rPr>
          <w:rFonts w:ascii="Cambria" w:hAnsi="Cambria" w:cs="Cambria" w:eastAsia="Cambria"/>
          <w:sz w:val="22"/>
        </w:rPr>
        <w:t xml:space="preserve">La </w:t>
      </w:r>
      <w:r>
        <w:rPr>
          <w:rFonts w:ascii="Cambria" w:hAnsi="Cambria" w:cs="Cambria" w:eastAsia="Cambria"/>
          <w:b/>
          <w:sz w:val="22"/>
        </w:rPr>
        <w:t>Comisión</w:t>
      </w:r>
      <w:r>
        <w:rPr>
          <w:rFonts w:ascii="Cambria" w:hAnsi="Cambria" w:cs="Cambria" w:eastAsia="Cambria"/>
          <w:sz w:val="22"/>
        </w:rPr>
        <w:t xml:space="preserve"> adopta normas y excepciones</w:t>
      </w:r>
    </w:p>
    <w:p>
      <w:pPr>
        <w:pStyle w:val="ListBullet"/>
        <w:ind w:left="357"/>
        <w:jc w:val="both"/>
      </w:pPr>
      <w:r>
        <w:rPr>
          <w:rFonts w:ascii="Cambria" w:hAnsi="Cambria" w:cs="Cambria" w:eastAsia="Cambria"/>
          <w:sz w:val="22"/>
        </w:rPr>
        <w:t xml:space="preserve">Asistida por el </w:t>
      </w:r>
      <w:r>
        <w:rPr>
          <w:rFonts w:ascii="Cambria" w:hAnsi="Cambria" w:cs="Cambria" w:eastAsia="Cambria"/>
          <w:b/>
          <w:sz w:val="22"/>
        </w:rPr>
        <w:t>Comité de Gestión de la OCM</w:t>
      </w:r>
      <w:r>
        <w:rPr>
          <w:rFonts w:ascii="Cambria" w:hAnsi="Cambria" w:cs="Cambria" w:eastAsia="Cambria"/>
          <w:sz w:val="22"/>
        </w:rPr>
        <w:t xml:space="preserve"> (Estados Miembros), con </w:t>
      </w:r>
      <w:r>
        <w:rPr>
          <w:rFonts w:ascii="Cambria" w:hAnsi="Cambria" w:cs="Cambria" w:eastAsia="Cambria"/>
          <w:b/>
          <w:sz w:val="22"/>
        </w:rPr>
        <w:t>comitología</w:t>
      </w:r>
    </w:p>
    <w:p>
      <w:pPr>
        <w:pStyle w:val="ListBullet"/>
        <w:ind w:left="357"/>
        <w:jc w:val="both"/>
      </w:pPr>
      <w:r>
        <w:rPr>
          <w:rFonts w:ascii="Cambria" w:hAnsi="Cambria" w:cs="Cambria" w:eastAsia="Cambria"/>
          <w:sz w:val="22"/>
        </w:rPr>
        <w:t xml:space="preserve">Proyecto presentado por la Comisión, con apoyo del </w:t>
      </w:r>
      <w:r>
        <w:rPr>
          <w:rFonts w:ascii="Cambria" w:hAnsi="Cambria" w:cs="Cambria" w:eastAsia="Cambria"/>
          <w:b/>
          <w:sz w:val="22"/>
        </w:rPr>
        <w:t>subgrupo de normalización de frutas y hortalizas</w:t>
      </w:r>
      <w:r>
        <w:rPr>
          <w:rFonts w:ascii="Cambria" w:hAnsi="Cambria" w:cs="Cambria" w:eastAsia="Cambria"/>
          <w:sz w:val="22"/>
        </w:rPr>
        <w:t>, consultivo, no decisorio</w:t>
      </w:r>
    </w:p>
    <w:p>
      <w:pPr>
        <w:pStyle w:val="ListBullet"/>
        <w:ind w:left="357"/>
        <w:jc w:val="both"/>
      </w:pPr>
      <w:r>
        <w:rPr>
          <w:rFonts w:ascii="Cambria" w:hAnsi="Cambria" w:cs="Cambria" w:eastAsia="Cambria"/>
          <w:sz w:val="22"/>
        </w:rPr>
        <w:t xml:space="preserve">Dictamen del Comité por </w:t>
      </w:r>
      <w:r>
        <w:rPr>
          <w:rFonts w:ascii="Cambria" w:hAnsi="Cambria" w:cs="Cambria" w:eastAsia="Cambria"/>
          <w:b/>
          <w:sz w:val="22"/>
        </w:rPr>
        <w:t>mayoría cualificada</w:t>
      </w:r>
    </w:p>
    <w:p>
      <w:pPr>
        <w:pStyle w:val="ListBullet"/>
        <w:ind w:left="357"/>
        <w:jc w:val="both"/>
      </w:pPr>
      <w:r>
        <w:rPr>
          <w:rFonts w:ascii="Cambria" w:hAnsi="Cambria" w:cs="Cambria" w:eastAsia="Cambria"/>
          <w:sz w:val="22"/>
        </w:rPr>
        <w:t>Si es favorable, se incorpora a la legislación de la UE</w:t>
      </w:r>
    </w:p>
    <w:p>
      <w:pPr>
        <w:pStyle w:val="Heading2"/>
      </w:pPr>
      <w:r>
        <w:rPr>
          <w:rFonts w:ascii="Cambria" w:hAnsi="Cambria" w:cs="Cambria" w:eastAsia="Cambria"/>
          <w:b/>
          <w:color w:val="0F4761"/>
          <w:sz w:val="24"/>
        </w:rPr>
        <w:t>3.4. Otras normas en el ámbito agroalimentario de la UE</w:t>
      </w:r>
    </w:p>
    <w:p>
      <w:pPr>
        <w:pStyle w:val="ListBullet"/>
        <w:ind w:left="357"/>
        <w:jc w:val="both"/>
      </w:pPr>
      <w:r>
        <w:rPr>
          <w:rFonts w:ascii="Cambria" w:hAnsi="Cambria" w:cs="Cambria" w:eastAsia="Cambria"/>
          <w:b/>
          <w:sz w:val="22"/>
        </w:rPr>
        <w:t>Aceite de oliva</w:t>
      </w:r>
      <w:r>
        <w:rPr>
          <w:rFonts w:ascii="Cambria" w:hAnsi="Cambria" w:cs="Cambria" w:eastAsia="Cambria"/>
          <w:sz w:val="22"/>
        </w:rPr>
        <w:t>: definiciones obligatorias en la OCM Única</w:t>
      </w:r>
    </w:p>
    <w:p>
      <w:pPr>
        <w:pStyle w:val="ListBullet2"/>
        <w:ind w:left="720"/>
        <w:jc w:val="both"/>
      </w:pPr>
      <w:r>
        <w:rPr>
          <w:rFonts w:ascii="Cambria" w:hAnsi="Cambria" w:cs="Cambria" w:eastAsia="Cambria"/>
          <w:b/>
          <w:sz w:val="22"/>
        </w:rPr>
        <w:t>Reglamento Delegado (UE) 2022/2104</w:t>
      </w:r>
      <w:r>
        <w:rPr>
          <w:rFonts w:ascii="Cambria" w:hAnsi="Cambria" w:cs="Cambria" w:eastAsia="Cambria"/>
          <w:sz w:val="22"/>
        </w:rPr>
        <w:t xml:space="preserve">, comercialización · </w:t>
      </w:r>
      <w:r>
        <w:rPr>
          <w:rFonts w:ascii="Cambria" w:hAnsi="Cambria" w:cs="Cambria" w:eastAsia="Cambria"/>
          <w:b/>
          <w:sz w:val="22"/>
        </w:rPr>
        <w:t>Reglamento de Ejecución (UE) 2022/2105</w:t>
      </w:r>
      <w:r>
        <w:rPr>
          <w:rFonts w:ascii="Cambria" w:hAnsi="Cambria" w:cs="Cambria" w:eastAsia="Cambria"/>
          <w:sz w:val="22"/>
        </w:rPr>
        <w:t xml:space="preserve">, controles y métodos de análisis. Aplicables desde el </w:t>
      </w:r>
      <w:r>
        <w:rPr>
          <w:rFonts w:ascii="Cambria" w:hAnsi="Cambria" w:cs="Cambria" w:eastAsia="Cambria"/>
          <w:b/>
          <w:sz w:val="22"/>
        </w:rPr>
        <w:t>24 de noviembre de 2022</w:t>
      </w:r>
    </w:p>
    <w:p>
      <w:pPr>
        <w:pStyle w:val="ListBullet2"/>
        <w:ind w:left="720"/>
        <w:jc w:val="both"/>
      </w:pPr>
      <w:r>
        <w:rPr>
          <w:rFonts w:ascii="Cambria" w:hAnsi="Cambria" w:cs="Cambria" w:eastAsia="Cambria"/>
          <w:sz w:val="22"/>
        </w:rPr>
        <w:t xml:space="preserve">Derogan </w:t>
      </w:r>
      <w:r>
        <w:rPr>
          <w:rFonts w:ascii="Cambria" w:hAnsi="Cambria" w:cs="Cambria" w:eastAsia="Cambria"/>
          <w:b/>
          <w:sz w:val="22"/>
        </w:rPr>
        <w:t>Reglamento (CEE) 2568/91</w:t>
      </w:r>
      <w:r>
        <w:rPr>
          <w:rFonts w:ascii="Cambria" w:hAnsi="Cambria" w:cs="Cambria" w:eastAsia="Cambria"/>
          <w:sz w:val="22"/>
        </w:rPr>
        <w:t xml:space="preserve"> y </w:t>
      </w:r>
      <w:r>
        <w:rPr>
          <w:rFonts w:ascii="Cambria" w:hAnsi="Cambria" w:cs="Cambria" w:eastAsia="Cambria"/>
          <w:b/>
          <w:sz w:val="22"/>
        </w:rPr>
        <w:t>(UE) 29/2012</w:t>
      </w:r>
    </w:p>
    <w:p>
      <w:pPr>
        <w:pStyle w:val="ListBullet2"/>
        <w:ind w:left="720"/>
        <w:jc w:val="both"/>
      </w:pPr>
      <w:r>
        <w:rPr>
          <w:rFonts w:ascii="Cambria" w:hAnsi="Cambria" w:cs="Cambria" w:eastAsia="Cambria"/>
          <w:sz w:val="22"/>
        </w:rPr>
        <w:t xml:space="preserve">España: </w:t>
      </w:r>
      <w:r>
        <w:rPr>
          <w:rFonts w:ascii="Cambria" w:hAnsi="Cambria" w:cs="Cambria" w:eastAsia="Cambria"/>
          <w:b/>
          <w:sz w:val="22"/>
        </w:rPr>
        <w:t>Real Decreto 760/2021</w:t>
      </w:r>
    </w:p>
    <w:p>
      <w:pPr>
        <w:pStyle w:val="ListBullet"/>
        <w:ind w:left="357"/>
        <w:jc w:val="both"/>
      </w:pPr>
      <w:r>
        <w:rPr>
          <w:rFonts w:ascii="Cambria" w:hAnsi="Cambria" w:cs="Cambria" w:eastAsia="Cambria"/>
          <w:b/>
          <w:sz w:val="22"/>
        </w:rPr>
        <w:t>Leche y lácteos</w:t>
      </w:r>
      <w:r>
        <w:rPr>
          <w:rFonts w:ascii="Cambria" w:hAnsi="Cambria" w:cs="Cambria" w:eastAsia="Cambria"/>
          <w:sz w:val="22"/>
        </w:rPr>
        <w:t>: solo con las denominaciones de la OCM Única. Evita falseamientos de competencia</w:t>
      </w:r>
    </w:p>
    <w:p>
      <w:pPr>
        <w:pStyle w:val="ListBullet2"/>
        <w:ind w:left="720"/>
        <w:jc w:val="both"/>
      </w:pPr>
      <w:r>
        <w:rPr>
          <w:rFonts w:ascii="Cambria" w:hAnsi="Cambria" w:cs="Cambria" w:eastAsia="Cambria"/>
          <w:b/>
          <w:sz w:val="22"/>
        </w:rPr>
        <w:t>Real Decreto 271/2014</w:t>
      </w:r>
      <w:r>
        <w:rPr>
          <w:rFonts w:ascii="Cambria" w:hAnsi="Cambria" w:cs="Cambria" w:eastAsia="Cambria"/>
          <w:sz w:val="22"/>
        </w:rPr>
        <w:t>, yogur</w:t>
      </w:r>
    </w:p>
    <w:p>
      <w:pPr>
        <w:pStyle w:val="ListBullet"/>
        <w:ind w:left="357"/>
        <w:jc w:val="both"/>
      </w:pPr>
      <w:r>
        <w:rPr>
          <w:rFonts w:ascii="Cambria" w:hAnsi="Cambria" w:cs="Cambria" w:eastAsia="Cambria"/>
          <w:b/>
          <w:sz w:val="22"/>
        </w:rPr>
        <w:t>Materias grasas</w:t>
      </w:r>
      <w:r>
        <w:rPr>
          <w:rFonts w:ascii="Cambria" w:hAnsi="Cambria" w:cs="Cambria" w:eastAsia="Cambria"/>
          <w:sz w:val="22"/>
        </w:rPr>
        <w:t>: lácteas y no lácteas (</w:t>
      </w:r>
      <w:r>
        <w:rPr>
          <w:rFonts w:ascii="Cambria" w:hAnsi="Cambria" w:cs="Cambria" w:eastAsia="Cambria"/>
          <w:b/>
          <w:sz w:val="22"/>
        </w:rPr>
        <w:t>10 %-90 %</w:t>
      </w:r>
      <w:r>
        <w:rPr>
          <w:rFonts w:ascii="Cambria" w:hAnsi="Cambria" w:cs="Cambria" w:eastAsia="Cambria"/>
          <w:sz w:val="22"/>
        </w:rPr>
        <w:t xml:space="preserve"> de grasa)</w:t>
      </w:r>
    </w:p>
    <w:p>
      <w:pPr>
        <w:pStyle w:val="ListBullet2"/>
        <w:ind w:left="720"/>
        <w:jc w:val="both"/>
      </w:pPr>
      <w:r>
        <w:rPr>
          <w:rFonts w:ascii="Cambria" w:hAnsi="Cambria" w:cs="Cambria" w:eastAsia="Cambria"/>
          <w:b/>
          <w:sz w:val="22"/>
        </w:rPr>
        <w:t>Real Decreto 1011/1981</w:t>
      </w:r>
      <w:r>
        <w:rPr>
          <w:rFonts w:ascii="Cambria" w:hAnsi="Cambria" w:cs="Cambria" w:eastAsia="Cambria"/>
          <w:sz w:val="22"/>
        </w:rPr>
        <w:t>, grasas comestibles y margarinas</w:t>
      </w:r>
    </w:p>
    <w:p>
      <w:pPr>
        <w:pStyle w:val="ListBullet"/>
        <w:ind w:left="357"/>
        <w:jc w:val="both"/>
      </w:pPr>
      <w:r>
        <w:rPr>
          <w:rFonts w:ascii="Cambria" w:hAnsi="Cambria" w:cs="Cambria" w:eastAsia="Cambria"/>
          <w:b/>
          <w:sz w:val="22"/>
        </w:rPr>
        <w:t>Pesca y acuicultura</w:t>
      </w:r>
      <w:r>
        <w:rPr>
          <w:rFonts w:ascii="Cambria" w:hAnsi="Cambria" w:cs="Cambria" w:eastAsia="Cambria"/>
          <w:sz w:val="22"/>
        </w:rPr>
        <w:t xml:space="preserve">: </w:t>
      </w:r>
      <w:r>
        <w:rPr>
          <w:rFonts w:ascii="Cambria" w:hAnsi="Cambria" w:cs="Cambria" w:eastAsia="Cambria"/>
          <w:b/>
          <w:sz w:val="22"/>
        </w:rPr>
        <w:t>Reglamento (UE) 1379/2013</w:t>
      </w:r>
      <w:r>
        <w:rPr>
          <w:rFonts w:ascii="Cambria" w:hAnsi="Cambria" w:cs="Cambria" w:eastAsia="Cambria"/>
          <w:sz w:val="22"/>
        </w:rPr>
        <w:t>, Capítulo I. Capítulo 03 y conservas del capítulo 16</w:t>
      </w:r>
    </w:p>
    <w:p>
      <w:pPr>
        <w:pStyle w:val="ListBullet2"/>
        <w:ind w:left="720"/>
        <w:jc w:val="both"/>
      </w:pPr>
      <w:r>
        <w:rPr>
          <w:rFonts w:ascii="Cambria" w:hAnsi="Cambria" w:cs="Cambria" w:eastAsia="Cambria"/>
          <w:b/>
          <w:sz w:val="22"/>
        </w:rPr>
        <w:t>Reglamento (CEE) 1536/92</w:t>
      </w:r>
      <w:r>
        <w:rPr>
          <w:rFonts w:ascii="Cambria" w:hAnsi="Cambria" w:cs="Cambria" w:eastAsia="Cambria"/>
          <w:sz w:val="22"/>
        </w:rPr>
        <w:t>, atún y bonito en conserva</w:t>
      </w:r>
    </w:p>
    <w:p>
      <w:pPr>
        <w:pStyle w:val="ListBullet2"/>
        <w:ind w:left="720"/>
        <w:jc w:val="both"/>
      </w:pPr>
      <w:r>
        <w:rPr>
          <w:rFonts w:ascii="Cambria" w:hAnsi="Cambria" w:cs="Cambria" w:eastAsia="Cambria"/>
          <w:b/>
          <w:sz w:val="22"/>
        </w:rPr>
        <w:t>Reglamento (CE) 2406/96</w:t>
      </w:r>
      <w:r>
        <w:rPr>
          <w:rFonts w:ascii="Cambria" w:hAnsi="Cambria" w:cs="Cambria" w:eastAsia="Cambria"/>
          <w:sz w:val="22"/>
        </w:rPr>
        <w:t>, determinados productos pesqueros</w:t>
      </w:r>
    </w:p>
    <w:p>
      <w:pPr>
        <w:pStyle w:val="ListBullet2"/>
        <w:ind w:left="720"/>
        <w:jc w:val="both"/>
      </w:pPr>
      <w:r>
        <w:rPr>
          <w:rFonts w:ascii="Cambria" w:hAnsi="Cambria" w:cs="Cambria" w:eastAsia="Cambria"/>
          <w:b/>
          <w:sz w:val="22"/>
        </w:rPr>
        <w:t>Reglamento (CE) 1181/2003</w:t>
      </w:r>
      <w:r>
        <w:rPr>
          <w:rFonts w:ascii="Cambria" w:hAnsi="Cambria" w:cs="Cambria" w:eastAsia="Cambria"/>
          <w:sz w:val="22"/>
        </w:rPr>
        <w:t xml:space="preserve">, conservas de sardinas, tras la denuncia de </w:t>
      </w:r>
      <w:r>
        <w:rPr>
          <w:rFonts w:ascii="Cambria" w:hAnsi="Cambria" w:cs="Cambria" w:eastAsia="Cambria"/>
          <w:b/>
          <w:sz w:val="22"/>
        </w:rPr>
        <w:t>Perú</w:t>
      </w:r>
      <w:r>
        <w:rPr>
          <w:rFonts w:ascii="Cambria" w:hAnsi="Cambria" w:cs="Cambria" w:eastAsia="Cambria"/>
          <w:sz w:val="22"/>
        </w:rPr>
        <w:t xml:space="preserve"> ante la OMC por contravenir el CODEX</w:t>
      </w:r>
    </w:p>
    <w:p>
      <w:pPr>
        <w:pStyle w:val="Heading1"/>
      </w:pPr>
      <w:r>
        <w:rPr>
          <w:rFonts w:ascii="Cambria" w:hAnsi="Cambria" w:cs="Cambria" w:eastAsia="Cambria"/>
          <w:b/>
          <w:color w:val="0F4761"/>
          <w:sz w:val="28"/>
        </w:rPr>
        <w:t>4. NORMALIZACIÓN EN EL ÁMBITO INDUSTRIAL</w:t>
      </w:r>
    </w:p>
    <w:p>
      <w:pPr>
        <w:pStyle w:val="ListBullet"/>
        <w:ind w:left="357"/>
        <w:jc w:val="both"/>
      </w:pPr>
      <w:r>
        <w:rPr>
          <w:rFonts w:ascii="Cambria" w:hAnsi="Cambria" w:cs="Cambria" w:eastAsia="Cambria"/>
          <w:sz w:val="22"/>
        </w:rPr>
        <w:t>Armonización de legislaciones. Dos opciones:</w:t>
      </w:r>
    </w:p>
    <w:p>
      <w:pPr>
        <w:pStyle w:val="ListBullet2"/>
        <w:ind w:left="720"/>
        <w:jc w:val="both"/>
      </w:pPr>
      <w:r>
        <w:rPr>
          <w:rFonts w:ascii="Cambria" w:hAnsi="Cambria" w:cs="Cambria" w:eastAsia="Cambria"/>
          <w:b/>
          <w:sz w:val="22"/>
        </w:rPr>
        <w:t>Enfoque Tradicional o Antiguo</w:t>
      </w:r>
      <w:r>
        <w:rPr>
          <w:rFonts w:ascii="Cambria" w:hAnsi="Cambria" w:cs="Cambria" w:eastAsia="Cambria"/>
          <w:sz w:val="22"/>
        </w:rPr>
        <w:t>: reglamentación pormenorizada. Aplicado a alimentos y piensos, cosméticos, medicamentos</w:t>
      </w:r>
    </w:p>
    <w:p>
      <w:pPr>
        <w:pStyle w:val="ListBullet2"/>
        <w:ind w:left="720"/>
        <w:jc w:val="both"/>
      </w:pPr>
      <w:r>
        <w:rPr>
          <w:rFonts w:ascii="Cambria" w:hAnsi="Cambria" w:cs="Cambria" w:eastAsia="Cambria"/>
          <w:b/>
          <w:sz w:val="22"/>
        </w:rPr>
        <w:t>Nuevo Enfoque</w:t>
      </w:r>
      <w:r>
        <w:rPr>
          <w:rFonts w:ascii="Cambria" w:hAnsi="Cambria" w:cs="Cambria" w:eastAsia="Cambria"/>
          <w:sz w:val="22"/>
        </w:rPr>
        <w:t xml:space="preserve">: solo </w:t>
      </w:r>
      <w:r>
        <w:rPr>
          <w:rFonts w:ascii="Cambria" w:hAnsi="Cambria" w:cs="Cambria" w:eastAsia="Cambria"/>
          <w:b/>
          <w:sz w:val="22"/>
        </w:rPr>
        <w:t>requisitos esenciales</w:t>
      </w:r>
      <w:r>
        <w:rPr>
          <w:rFonts w:ascii="Cambria" w:hAnsi="Cambria" w:cs="Cambria" w:eastAsia="Cambria"/>
          <w:sz w:val="22"/>
        </w:rPr>
        <w:t xml:space="preserve"> de seguridad, recomendando </w:t>
      </w:r>
      <w:r>
        <w:rPr>
          <w:rFonts w:ascii="Cambria" w:hAnsi="Cambria" w:cs="Cambria" w:eastAsia="Cambria"/>
          <w:b/>
          <w:sz w:val="22"/>
        </w:rPr>
        <w:t>normas armonizadas</w:t>
      </w:r>
      <w:r>
        <w:rPr>
          <w:rFonts w:ascii="Cambria" w:hAnsi="Cambria" w:cs="Cambria" w:eastAsia="Cambria"/>
          <w:sz w:val="22"/>
        </w:rPr>
        <w:t>. Aplicado a productos industriales</w:t>
      </w:r>
    </w:p>
    <w:p>
      <w:pPr>
        <w:pStyle w:val="ListBullet"/>
        <w:ind w:left="357"/>
        <w:jc w:val="both"/>
      </w:pPr>
      <w:r>
        <w:rPr>
          <w:rFonts w:ascii="Cambria" w:hAnsi="Cambria" w:cs="Cambria" w:eastAsia="Cambria"/>
          <w:b/>
          <w:sz w:val="22"/>
        </w:rPr>
        <w:t>Antiguo Enfoque</w:t>
      </w:r>
    </w:p>
    <w:p>
      <w:pPr>
        <w:pStyle w:val="ListBullet2"/>
        <w:ind w:left="720"/>
        <w:jc w:val="both"/>
      </w:pPr>
      <w:r>
        <w:rPr>
          <w:rFonts w:ascii="Cambria" w:hAnsi="Cambria" w:cs="Cambria" w:eastAsia="Cambria"/>
          <w:sz w:val="22"/>
        </w:rPr>
        <w:t>Una norma única y detallada por producto, vía Directivas del Consejo</w:t>
      </w:r>
    </w:p>
    <w:p>
      <w:pPr>
        <w:pStyle w:val="ListBullet2"/>
        <w:ind w:left="720"/>
        <w:jc w:val="both"/>
      </w:pPr>
      <w:r>
        <w:rPr>
          <w:rFonts w:ascii="Cambria" w:hAnsi="Cambria" w:cs="Cambria" w:eastAsia="Cambria"/>
          <w:sz w:val="22"/>
        </w:rPr>
        <w:t>CEN, CENELEC y ETSI no elaboraban especificaciones complementarias</w:t>
      </w:r>
    </w:p>
    <w:p>
      <w:pPr>
        <w:pStyle w:val="ListBullet2"/>
        <w:ind w:left="720"/>
        <w:jc w:val="both"/>
      </w:pPr>
      <w:r>
        <w:rPr>
          <w:rFonts w:ascii="Cambria" w:hAnsi="Cambria" w:cs="Cambria" w:eastAsia="Cambria"/>
          <w:sz w:val="22"/>
        </w:rPr>
        <w:t xml:space="preserve">Lento: proceso muy técnico y </w:t>
      </w:r>
      <w:r>
        <w:rPr>
          <w:rFonts w:ascii="Cambria" w:hAnsi="Cambria" w:cs="Cambria" w:eastAsia="Cambria"/>
          <w:b/>
          <w:sz w:val="22"/>
        </w:rPr>
        <w:t>unanimidad</w:t>
      </w:r>
      <w:r>
        <w:rPr>
          <w:rFonts w:ascii="Cambria" w:hAnsi="Cambria" w:cs="Cambria" w:eastAsia="Cambria"/>
          <w:sz w:val="22"/>
        </w:rPr>
        <w:t xml:space="preserve"> del Consejo</w:t>
      </w:r>
    </w:p>
    <w:p>
      <w:pPr>
        <w:pStyle w:val="ListBullet"/>
        <w:ind w:left="357"/>
        <w:jc w:val="both"/>
      </w:pPr>
      <w:r>
        <w:rPr>
          <w:rFonts w:ascii="Cambria" w:hAnsi="Cambria" w:cs="Cambria" w:eastAsia="Cambria"/>
          <w:b/>
          <w:sz w:val="22"/>
        </w:rPr>
        <w:t>Nuevo Enfoque</w:t>
      </w:r>
    </w:p>
    <w:p>
      <w:pPr>
        <w:pStyle w:val="ListBullet2"/>
        <w:ind w:left="720"/>
        <w:jc w:val="both"/>
      </w:pPr>
      <w:r>
        <w:rPr>
          <w:rFonts w:ascii="Cambria" w:hAnsi="Cambria" w:cs="Cambria" w:eastAsia="Cambria"/>
          <w:sz w:val="22"/>
        </w:rPr>
        <w:t xml:space="preserve">Resolución del Consejo de </w:t>
      </w:r>
      <w:r>
        <w:rPr>
          <w:rFonts w:ascii="Cambria" w:hAnsi="Cambria" w:cs="Cambria" w:eastAsia="Cambria"/>
          <w:b/>
          <w:sz w:val="22"/>
        </w:rPr>
        <w:t>7 de mayo de 1985</w:t>
      </w:r>
      <w:r>
        <w:rPr>
          <w:rFonts w:ascii="Cambria" w:hAnsi="Cambria" w:cs="Cambria" w:eastAsia="Cambria"/>
          <w:sz w:val="22"/>
        </w:rPr>
        <w:t xml:space="preserve">, ligado a la sentencia </w:t>
      </w:r>
      <w:r>
        <w:rPr>
          <w:rFonts w:ascii="Cambria" w:hAnsi="Cambria" w:cs="Cambria" w:eastAsia="Cambria"/>
          <w:b/>
          <w:sz w:val="22"/>
        </w:rPr>
        <w:t>Cassis de Dijon</w:t>
      </w:r>
      <w:r>
        <w:rPr>
          <w:rFonts w:ascii="Cambria" w:hAnsi="Cambria" w:cs="Cambria" w:eastAsia="Cambria"/>
          <w:sz w:val="22"/>
        </w:rPr>
        <w:t xml:space="preserve"> (TJUE, </w:t>
      </w:r>
      <w:r>
        <w:rPr>
          <w:rFonts w:ascii="Cambria" w:hAnsi="Cambria" w:cs="Cambria" w:eastAsia="Cambria"/>
          <w:b/>
          <w:sz w:val="22"/>
        </w:rPr>
        <w:t>20 de febrero de 1979</w:t>
      </w:r>
      <w:r>
        <w:rPr>
          <w:rFonts w:ascii="Cambria" w:hAnsi="Cambria" w:cs="Cambria" w:eastAsia="Cambria"/>
          <w:sz w:val="22"/>
        </w:rPr>
        <w:t>)</w:t>
      </w:r>
    </w:p>
    <w:p>
      <w:pPr>
        <w:pStyle w:val="ListBullet2"/>
        <w:ind w:left="720"/>
        <w:jc w:val="both"/>
      </w:pPr>
      <w:r>
        <w:rPr>
          <w:rFonts w:ascii="Cambria" w:hAnsi="Cambria" w:cs="Cambria" w:eastAsia="Cambria"/>
          <w:sz w:val="22"/>
        </w:rPr>
        <w:t>El fabricante elige cómo cumplir las exigencias esenciales, con apoyo de CEN, CENELEC, ETSI y organismos nacionales</w:t>
      </w:r>
    </w:p>
    <w:p>
      <w:pPr>
        <w:pStyle w:val="ListBullet2"/>
        <w:ind w:left="720"/>
        <w:jc w:val="both"/>
      </w:pPr>
      <w:r>
        <w:rPr>
          <w:rFonts w:ascii="Cambria" w:hAnsi="Cambria" w:cs="Cambria" w:eastAsia="Cambria"/>
          <w:sz w:val="22"/>
        </w:rPr>
        <w:t>Directivas de Nuevo Enfoque: requisitos mínimos de seguridad</w:t>
      </w:r>
    </w:p>
    <w:p>
      <w:pPr>
        <w:pStyle w:val="ListBullet"/>
        <w:ind w:left="357"/>
        <w:jc w:val="both"/>
      </w:pPr>
      <w:r>
        <w:rPr>
          <w:rFonts w:ascii="Cambria" w:hAnsi="Cambria" w:cs="Cambria" w:eastAsia="Cambria"/>
          <w:b/>
          <w:sz w:val="22"/>
        </w:rPr>
        <w:t>Nuevo Marco Legislativo (NML)</w:t>
      </w:r>
      <w:r>
        <w:rPr>
          <w:rFonts w:ascii="Cambria" w:hAnsi="Cambria" w:cs="Cambria" w:eastAsia="Cambria"/>
          <w:sz w:val="22"/>
        </w:rPr>
        <w:t xml:space="preserve">, paquete de </w:t>
      </w:r>
      <w:r>
        <w:rPr>
          <w:rFonts w:ascii="Cambria" w:hAnsi="Cambria" w:cs="Cambria" w:eastAsia="Cambria"/>
          <w:b/>
          <w:sz w:val="22"/>
        </w:rPr>
        <w:t>9 de julio de 2008</w:t>
      </w:r>
      <w:r>
        <w:rPr>
          <w:rFonts w:ascii="Cambria" w:hAnsi="Cambria" w:cs="Cambria" w:eastAsia="Cambria"/>
          <w:sz w:val="22"/>
        </w:rPr>
        <w:t>:</w:t>
      </w:r>
    </w:p>
    <w:p>
      <w:pPr>
        <w:pStyle w:val="ListBullet2"/>
        <w:ind w:left="720"/>
        <w:jc w:val="both"/>
      </w:pPr>
      <w:r>
        <w:rPr>
          <w:rFonts w:ascii="Cambria" w:hAnsi="Cambria" w:cs="Cambria" w:eastAsia="Cambria"/>
          <w:b/>
          <w:sz w:val="22"/>
        </w:rPr>
        <w:t>Reglamento (UE) 2019/515</w:t>
      </w:r>
      <w:r>
        <w:rPr>
          <w:rFonts w:ascii="Cambria" w:hAnsi="Cambria" w:cs="Cambria" w:eastAsia="Cambria"/>
          <w:sz w:val="22"/>
        </w:rPr>
        <w:t xml:space="preserve"> (derogó al 764/2008)</w:t>
      </w:r>
    </w:p>
    <w:p>
      <w:pPr>
        <w:pStyle w:val="ListBullet2"/>
        <w:ind w:left="720"/>
        <w:jc w:val="both"/>
      </w:pPr>
      <w:r>
        <w:rPr>
          <w:rFonts w:ascii="Cambria" w:hAnsi="Cambria" w:cs="Cambria" w:eastAsia="Cambria"/>
          <w:b/>
          <w:sz w:val="22"/>
        </w:rPr>
        <w:t>Reglamento (CE) 765/2008</w:t>
      </w:r>
      <w:r>
        <w:rPr>
          <w:rFonts w:ascii="Cambria" w:hAnsi="Cambria" w:cs="Cambria" w:eastAsia="Cambria"/>
          <w:sz w:val="22"/>
        </w:rPr>
        <w:t xml:space="preserve">: acreditación y marcado CE. Vigilancia del mercado sustituida por el </w:t>
      </w:r>
      <w:r>
        <w:rPr>
          <w:rFonts w:ascii="Cambria" w:hAnsi="Cambria" w:cs="Cambria" w:eastAsia="Cambria"/>
          <w:b/>
          <w:sz w:val="22"/>
        </w:rPr>
        <w:t>Reglamento (UE) 2019/1020</w:t>
      </w:r>
    </w:p>
    <w:p>
      <w:pPr>
        <w:pStyle w:val="ListBullet2"/>
        <w:ind w:left="720"/>
        <w:jc w:val="both"/>
      </w:pPr>
      <w:r>
        <w:rPr>
          <w:rFonts w:ascii="Cambria" w:hAnsi="Cambria" w:cs="Cambria" w:eastAsia="Cambria"/>
          <w:b/>
          <w:sz w:val="22"/>
        </w:rPr>
        <w:t>Decisión 768/2008/CE</w:t>
      </w:r>
      <w:r>
        <w:rPr>
          <w:rFonts w:ascii="Cambria" w:hAnsi="Cambria" w:cs="Cambria" w:eastAsia="Cambria"/>
          <w:sz w:val="22"/>
        </w:rPr>
        <w:t>: definiciones y criterios de notificación de organismos de evaluación de la conformidad</w:t>
      </w:r>
    </w:p>
    <w:p>
      <w:pPr>
        <w:pStyle w:val="ListBullet2"/>
        <w:ind w:left="720"/>
        <w:jc w:val="both"/>
      </w:pPr>
      <w:r>
        <w:rPr>
          <w:rFonts w:ascii="Cambria" w:hAnsi="Cambria" w:cs="Cambria" w:eastAsia="Cambria"/>
          <w:sz w:val="22"/>
        </w:rPr>
        <w:t xml:space="preserve">Complementa el </w:t>
      </w:r>
      <w:r>
        <w:rPr>
          <w:rFonts w:ascii="Cambria" w:hAnsi="Cambria" w:cs="Cambria" w:eastAsia="Cambria"/>
          <w:b/>
          <w:sz w:val="22"/>
        </w:rPr>
        <w:t>Reglamento (UE) 2023/988</w:t>
      </w:r>
      <w:r>
        <w:rPr>
          <w:rFonts w:ascii="Cambria" w:hAnsi="Cambria" w:cs="Cambria" w:eastAsia="Cambria"/>
          <w:sz w:val="22"/>
        </w:rPr>
        <w:t>, Seguridad General de los Productos</w:t>
      </w:r>
    </w:p>
    <w:p>
      <w:pPr>
        <w:pStyle w:val="Heading2"/>
      </w:pPr>
      <w:r>
        <w:rPr>
          <w:rFonts w:ascii="Cambria" w:hAnsi="Cambria" w:cs="Cambria" w:eastAsia="Cambria"/>
          <w:b/>
          <w:color w:val="0F4761"/>
          <w:sz w:val="24"/>
        </w:rPr>
        <w:t>4.1. Normas armonizadas</w:t>
      </w:r>
    </w:p>
    <w:p>
      <w:pPr>
        <w:pStyle w:val="ListBullet"/>
        <w:ind w:left="357"/>
        <w:jc w:val="both"/>
      </w:pPr>
      <w:r>
        <w:rPr>
          <w:rFonts w:ascii="Cambria" w:hAnsi="Cambria" w:cs="Cambria" w:eastAsia="Cambria"/>
          <w:b/>
          <w:sz w:val="22"/>
        </w:rPr>
        <w:t>Norma Armonizada</w:t>
      </w:r>
      <w:r>
        <w:rPr>
          <w:rFonts w:ascii="Cambria" w:hAnsi="Cambria" w:cs="Cambria" w:eastAsia="Cambria"/>
          <w:sz w:val="22"/>
        </w:rPr>
        <w:t xml:space="preserve">: norma europea adoptada a raíz de un </w:t>
      </w:r>
      <w:r>
        <w:rPr>
          <w:rFonts w:ascii="Cambria" w:hAnsi="Cambria" w:cs="Cambria" w:eastAsia="Cambria"/>
          <w:b/>
          <w:sz w:val="22"/>
        </w:rPr>
        <w:t>mandato</w:t>
      </w:r>
      <w:r>
        <w:rPr>
          <w:rFonts w:ascii="Cambria" w:hAnsi="Cambria" w:cs="Cambria" w:eastAsia="Cambria"/>
          <w:sz w:val="22"/>
        </w:rPr>
        <w:t xml:space="preserve"> de la Comisión para aplicar legislación de armonización de la UE</w:t>
      </w:r>
    </w:p>
    <w:p>
      <w:pPr>
        <w:pStyle w:val="ListBullet2"/>
        <w:ind w:left="720"/>
        <w:jc w:val="both"/>
      </w:pPr>
      <w:r>
        <w:rPr>
          <w:rFonts w:ascii="Cambria" w:hAnsi="Cambria" w:cs="Cambria" w:eastAsia="Cambria"/>
          <w:sz w:val="22"/>
        </w:rPr>
        <w:t xml:space="preserve">Definición del </w:t>
      </w:r>
      <w:r>
        <w:rPr>
          <w:rFonts w:ascii="Cambria" w:hAnsi="Cambria" w:cs="Cambria" w:eastAsia="Cambria"/>
          <w:b/>
          <w:sz w:val="22"/>
        </w:rPr>
        <w:t>Reglamento (UE) 1025/2012</w:t>
      </w:r>
    </w:p>
    <w:p>
      <w:pPr>
        <w:pStyle w:val="ListBullet"/>
        <w:ind w:left="357"/>
        <w:jc w:val="both"/>
      </w:pPr>
      <w:r>
        <w:rPr>
          <w:rFonts w:ascii="Cambria" w:hAnsi="Cambria" w:cs="Cambria" w:eastAsia="Cambria"/>
          <w:sz w:val="22"/>
        </w:rPr>
        <w:t xml:space="preserve">No obligatorias. Su seguimiento </w:t>
      </w:r>
      <w:r>
        <w:rPr>
          <w:rFonts w:ascii="Cambria" w:hAnsi="Cambria" w:cs="Cambria" w:eastAsia="Cambria"/>
          <w:b/>
          <w:sz w:val="22"/>
        </w:rPr>
        <w:t>presupone la conformidad</w:t>
      </w:r>
      <w:r>
        <w:rPr>
          <w:rFonts w:ascii="Cambria" w:hAnsi="Cambria" w:cs="Cambria" w:eastAsia="Cambria"/>
          <w:sz w:val="22"/>
        </w:rPr>
        <w:t xml:space="preserve"> con la Directiva. Muchas equivalen a normas ISO</w:t>
      </w:r>
    </w:p>
    <w:p>
      <w:pPr>
        <w:pStyle w:val="ListBullet"/>
        <w:ind w:left="357"/>
        <w:jc w:val="both"/>
      </w:pPr>
      <w:r>
        <w:rPr>
          <w:rFonts w:ascii="Cambria" w:hAnsi="Cambria" w:cs="Cambria" w:eastAsia="Cambria"/>
          <w:b/>
          <w:sz w:val="22"/>
        </w:rPr>
        <w:t>Norma Europea</w:t>
      </w:r>
      <w:r>
        <w:rPr>
          <w:rFonts w:ascii="Cambria" w:hAnsi="Cambria" w:cs="Cambria" w:eastAsia="Cambria"/>
          <w:sz w:val="22"/>
        </w:rPr>
        <w:t>: especificación técnica de CEN, CENELEC o ETSI, no obligatoria. Se transpone idéntica y se retiran las nacionales en conflicto</w:t>
      </w:r>
    </w:p>
    <w:p>
      <w:pPr>
        <w:pStyle w:val="ListBullet"/>
        <w:ind w:left="357"/>
        <w:jc w:val="both"/>
      </w:pPr>
      <w:r>
        <w:rPr>
          <w:rFonts w:ascii="Cambria" w:hAnsi="Cambria" w:cs="Cambria" w:eastAsia="Cambria"/>
          <w:sz w:val="22"/>
        </w:rPr>
        <w:t xml:space="preserve">Reciben </w:t>
      </w:r>
      <w:r>
        <w:rPr>
          <w:rFonts w:ascii="Cambria" w:hAnsi="Cambria" w:cs="Cambria" w:eastAsia="Cambria"/>
          <w:b/>
          <w:sz w:val="22"/>
        </w:rPr>
        <w:t>mandatos</w:t>
      </w:r>
      <w:r>
        <w:rPr>
          <w:rFonts w:ascii="Cambria" w:hAnsi="Cambria" w:cs="Cambria" w:eastAsia="Cambria"/>
          <w:sz w:val="22"/>
        </w:rPr>
        <w:t>: CEN, CENELEC y ETSI. Procedimiento:</w:t>
      </w:r>
    </w:p>
    <w:p>
      <w:pPr>
        <w:pStyle w:val="ListBullet2"/>
        <w:ind w:left="720"/>
        <w:jc w:val="both"/>
      </w:pPr>
      <w:r>
        <w:rPr>
          <w:rFonts w:ascii="Cambria" w:hAnsi="Cambria" w:cs="Cambria" w:eastAsia="Cambria"/>
          <w:b/>
          <w:sz w:val="22"/>
        </w:rPr>
        <w:t>Emisión del mandato</w:t>
      </w:r>
      <w:r>
        <w:rPr>
          <w:rFonts w:ascii="Cambria" w:hAnsi="Cambria" w:cs="Cambria" w:eastAsia="Cambria"/>
          <w:sz w:val="22"/>
        </w:rPr>
        <w:t xml:space="preserve"> por la Comisión</w:t>
      </w:r>
    </w:p>
    <w:p>
      <w:pPr>
        <w:pStyle w:val="ListBullet2"/>
        <w:ind w:left="720"/>
        <w:jc w:val="both"/>
      </w:pPr>
      <w:r>
        <w:rPr>
          <w:rFonts w:ascii="Cambria" w:hAnsi="Cambria" w:cs="Cambria" w:eastAsia="Cambria"/>
          <w:b/>
          <w:sz w:val="22"/>
        </w:rPr>
        <w:t>Aceptación</w:t>
      </w:r>
      <w:r>
        <w:rPr>
          <w:rFonts w:ascii="Cambria" w:hAnsi="Cambria" w:cs="Cambria" w:eastAsia="Cambria"/>
          <w:sz w:val="22"/>
        </w:rPr>
        <w:t xml:space="preserve"> por el organismo</w:t>
      </w:r>
    </w:p>
    <w:p>
      <w:pPr>
        <w:pStyle w:val="ListBullet2"/>
        <w:ind w:left="720"/>
        <w:jc w:val="both"/>
      </w:pPr>
      <w:r>
        <w:rPr>
          <w:rFonts w:ascii="Cambria" w:hAnsi="Cambria" w:cs="Cambria" w:eastAsia="Cambria"/>
          <w:b/>
          <w:sz w:val="22"/>
        </w:rPr>
        <w:t>Elaboración</w:t>
      </w:r>
      <w:r>
        <w:rPr>
          <w:rFonts w:ascii="Cambria" w:hAnsi="Cambria" w:cs="Cambria" w:eastAsia="Cambria"/>
          <w:sz w:val="22"/>
        </w:rPr>
        <w:t>: Directrices Generales de cooperación, partes interesadas, Comité Técnico</w:t>
      </w:r>
    </w:p>
    <w:p>
      <w:pPr>
        <w:pStyle w:val="ListBullet2"/>
        <w:ind w:left="720"/>
        <w:jc w:val="both"/>
      </w:pPr>
      <w:r>
        <w:rPr>
          <w:rFonts w:ascii="Cambria" w:hAnsi="Cambria" w:cs="Cambria" w:eastAsia="Cambria"/>
          <w:b/>
          <w:sz w:val="22"/>
        </w:rPr>
        <w:t>Consulta pública</w:t>
      </w:r>
    </w:p>
    <w:p>
      <w:pPr>
        <w:pStyle w:val="ListBullet2"/>
        <w:ind w:left="720"/>
        <w:jc w:val="both"/>
      </w:pPr>
      <w:r>
        <w:rPr>
          <w:rFonts w:ascii="Cambria" w:hAnsi="Cambria" w:cs="Cambria" w:eastAsia="Cambria"/>
          <w:b/>
          <w:sz w:val="22"/>
        </w:rPr>
        <w:t>Votación</w:t>
      </w:r>
      <w:r>
        <w:rPr>
          <w:rFonts w:ascii="Cambria" w:hAnsi="Cambria" w:cs="Cambria" w:eastAsia="Cambria"/>
          <w:sz w:val="22"/>
        </w:rPr>
        <w:t>: nacionales votan, europeos ratifican</w:t>
      </w:r>
    </w:p>
    <w:p>
      <w:pPr>
        <w:pStyle w:val="ListBullet2"/>
        <w:ind w:left="720"/>
        <w:jc w:val="both"/>
      </w:pPr>
      <w:r>
        <w:rPr>
          <w:rFonts w:ascii="Cambria" w:hAnsi="Cambria" w:cs="Cambria" w:eastAsia="Cambria"/>
          <w:b/>
          <w:sz w:val="22"/>
        </w:rPr>
        <w:t>Evaluación por la Comisión</w:t>
      </w:r>
      <w:r>
        <w:rPr>
          <w:rFonts w:ascii="Cambria" w:hAnsi="Cambria" w:cs="Cambria" w:eastAsia="Cambria"/>
          <w:sz w:val="22"/>
        </w:rPr>
        <w:t xml:space="preserve">: análisis técnico y jurídico, acto de ejecución, publicación en el </w:t>
      </w:r>
      <w:r>
        <w:rPr>
          <w:rFonts w:ascii="Cambria" w:hAnsi="Cambria" w:cs="Cambria" w:eastAsia="Cambria"/>
          <w:b/>
          <w:sz w:val="22"/>
        </w:rPr>
        <w:t>DOUE</w:t>
      </w:r>
      <w:r>
        <w:rPr>
          <w:rFonts w:ascii="Cambria" w:hAnsi="Cambria" w:cs="Cambria" w:eastAsia="Cambria"/>
          <w:sz w:val="22"/>
        </w:rPr>
        <w:t xml:space="preserve"> y </w:t>
      </w:r>
      <w:r>
        <w:rPr>
          <w:rFonts w:ascii="Cambria" w:hAnsi="Cambria" w:cs="Cambria" w:eastAsia="Cambria"/>
          <w:b/>
          <w:sz w:val="22"/>
        </w:rPr>
        <w:t>presunción de conformidad</w:t>
      </w:r>
    </w:p>
    <w:p>
      <w:pPr>
        <w:pStyle w:val="ListBullet2"/>
        <w:ind w:left="720"/>
        <w:jc w:val="both"/>
      </w:pPr>
      <w:r>
        <w:rPr>
          <w:rFonts w:ascii="Cambria" w:hAnsi="Cambria" w:cs="Cambria" w:eastAsia="Cambria"/>
          <w:b/>
          <w:sz w:val="22"/>
        </w:rPr>
        <w:t>Transposición nacional</w:t>
      </w:r>
      <w:r>
        <w:rPr>
          <w:rFonts w:ascii="Cambria" w:hAnsi="Cambria" w:cs="Cambria" w:eastAsia="Cambria"/>
          <w:sz w:val="22"/>
        </w:rPr>
        <w:t xml:space="preserve"> (en España </w:t>
      </w:r>
      <w:r>
        <w:rPr>
          <w:rFonts w:ascii="Cambria" w:hAnsi="Cambria" w:cs="Cambria" w:eastAsia="Cambria"/>
          <w:b/>
          <w:sz w:val="22"/>
        </w:rPr>
        <w:t>UNE</w:t>
      </w:r>
      <w:r>
        <w:rPr>
          <w:rFonts w:ascii="Cambria" w:hAnsi="Cambria" w:cs="Cambria" w:eastAsia="Cambria"/>
          <w:sz w:val="22"/>
        </w:rPr>
        <w:t>) y publicación de referencias</w:t>
      </w:r>
    </w:p>
    <w:p>
      <w:pPr>
        <w:pStyle w:val="Heading2"/>
      </w:pPr>
      <w:r>
        <w:rPr>
          <w:rFonts w:ascii="Cambria" w:hAnsi="Cambria" w:cs="Cambria" w:eastAsia="Cambria"/>
          <w:b/>
          <w:color w:val="0F4761"/>
          <w:sz w:val="24"/>
        </w:rPr>
        <w:t>4.2. Evaluación de la conformidad</w:t>
      </w:r>
    </w:p>
    <w:p>
      <w:pPr>
        <w:pStyle w:val="ListBullet"/>
        <w:ind w:left="357"/>
        <w:jc w:val="both"/>
      </w:pPr>
      <w:r>
        <w:rPr>
          <w:rFonts w:ascii="Cambria" w:hAnsi="Cambria" w:cs="Cambria" w:eastAsia="Cambria"/>
          <w:sz w:val="22"/>
        </w:rPr>
        <w:t>Previa a la comercialización, según la Directiva aplicable</w:t>
      </w:r>
    </w:p>
    <w:p>
      <w:pPr>
        <w:pStyle w:val="ListBullet"/>
        <w:ind w:left="357"/>
        <w:jc w:val="both"/>
      </w:pPr>
      <w:r>
        <w:rPr>
          <w:rFonts w:ascii="Cambria" w:hAnsi="Cambria" w:cs="Cambria" w:eastAsia="Cambria"/>
          <w:sz w:val="22"/>
        </w:rPr>
        <w:t>Actividad para determinar si se cumplen los requisitos especificados</w:t>
      </w:r>
    </w:p>
    <w:p>
      <w:pPr>
        <w:pStyle w:val="ListBullet"/>
        <w:ind w:left="357"/>
        <w:jc w:val="both"/>
      </w:pPr>
      <w:r>
        <w:rPr>
          <w:rFonts w:ascii="Cambria" w:hAnsi="Cambria" w:cs="Cambria" w:eastAsia="Cambria"/>
          <w:sz w:val="22"/>
        </w:rPr>
        <w:t>Cuatro elementos: normas o especificaciones, inspección, ensayo, tiempo de cumplimiento durante la vida del producto</w:t>
      </w:r>
    </w:p>
    <w:p>
      <w:pPr>
        <w:pStyle w:val="ListBullet"/>
        <w:ind w:left="357"/>
        <w:jc w:val="both"/>
      </w:pPr>
      <w:r>
        <w:rPr>
          <w:rFonts w:ascii="Cambria" w:hAnsi="Cambria" w:cs="Cambria" w:eastAsia="Cambria"/>
          <w:sz w:val="22"/>
        </w:rPr>
        <w:t>Dos grupos:</w:t>
      </w:r>
    </w:p>
    <w:p>
      <w:pPr>
        <w:pStyle w:val="ListBullet2"/>
        <w:ind w:left="720"/>
        <w:jc w:val="both"/>
      </w:pPr>
      <w:r>
        <w:rPr>
          <w:rFonts w:ascii="Cambria" w:hAnsi="Cambria" w:cs="Cambria" w:eastAsia="Cambria"/>
          <w:b/>
          <w:sz w:val="22"/>
        </w:rPr>
        <w:t>Primera parte</w:t>
      </w:r>
      <w:r>
        <w:rPr>
          <w:rFonts w:ascii="Cambria" w:hAnsi="Cambria" w:cs="Cambria" w:eastAsia="Cambria"/>
          <w:sz w:val="22"/>
        </w:rPr>
        <w:t>: declaración del fabricante (</w:t>
      </w:r>
      <w:r>
        <w:rPr>
          <w:rFonts w:ascii="Cambria" w:hAnsi="Cambria" w:cs="Cambria" w:eastAsia="Cambria"/>
          <w:b/>
          <w:sz w:val="22"/>
        </w:rPr>
        <w:t>autocertificación</w:t>
      </w:r>
      <w:r>
        <w:rPr>
          <w:rFonts w:ascii="Cambria" w:hAnsi="Cambria" w:cs="Cambria" w:eastAsia="Cambria"/>
          <w:sz w:val="22"/>
        </w:rPr>
        <w:t>)</w:t>
      </w:r>
    </w:p>
    <w:p>
      <w:pPr>
        <w:pStyle w:val="ListBullet2"/>
        <w:ind w:left="720"/>
        <w:jc w:val="both"/>
      </w:pPr>
      <w:r>
        <w:rPr>
          <w:rFonts w:ascii="Cambria" w:hAnsi="Cambria" w:cs="Cambria" w:eastAsia="Cambria"/>
          <w:b/>
          <w:sz w:val="22"/>
        </w:rPr>
        <w:t>Tercera parte</w:t>
      </w:r>
      <w:r>
        <w:rPr>
          <w:rFonts w:ascii="Cambria" w:hAnsi="Cambria" w:cs="Cambria" w:eastAsia="Cambria"/>
          <w:sz w:val="22"/>
        </w:rPr>
        <w:t xml:space="preserve">: </w:t>
      </w:r>
      <w:r>
        <w:rPr>
          <w:rFonts w:ascii="Cambria" w:hAnsi="Cambria" w:cs="Cambria" w:eastAsia="Cambria"/>
          <w:b/>
          <w:sz w:val="22"/>
        </w:rPr>
        <w:t>organismo notificado</w:t>
      </w:r>
      <w:r>
        <w:rPr>
          <w:rFonts w:ascii="Cambria" w:hAnsi="Cambria" w:cs="Cambria" w:eastAsia="Cambria"/>
          <w:sz w:val="22"/>
        </w:rPr>
        <w:t>, independiente</w:t>
      </w:r>
    </w:p>
    <w:p>
      <w:pPr>
        <w:pStyle w:val="ListBullet"/>
        <w:ind w:left="357"/>
        <w:jc w:val="both"/>
      </w:pPr>
      <w:r>
        <w:rPr>
          <w:rFonts w:ascii="Cambria" w:hAnsi="Cambria" w:cs="Cambria" w:eastAsia="Cambria"/>
          <w:sz w:val="22"/>
        </w:rPr>
        <w:t xml:space="preserve">Con normas armonizadas, </w:t>
      </w:r>
      <w:r>
        <w:rPr>
          <w:rFonts w:ascii="Cambria" w:hAnsi="Cambria" w:cs="Cambria" w:eastAsia="Cambria"/>
          <w:b/>
          <w:sz w:val="22"/>
        </w:rPr>
        <w:t>presunción de conformidad</w:t>
      </w:r>
      <w:r>
        <w:rPr>
          <w:rFonts w:ascii="Cambria" w:hAnsi="Cambria" w:cs="Cambria" w:eastAsia="Cambria"/>
          <w:sz w:val="22"/>
        </w:rPr>
        <w:t>. Sin ellas, el fabricante aporta documentación y pruebas</w:t>
      </w:r>
    </w:p>
    <w:p>
      <w:pPr>
        <w:pStyle w:val="Heading2"/>
      </w:pPr>
      <w:r>
        <w:rPr>
          <w:rFonts w:ascii="Cambria" w:hAnsi="Cambria" w:cs="Cambria" w:eastAsia="Cambria"/>
          <w:b/>
          <w:color w:val="0F4761"/>
          <w:sz w:val="24"/>
        </w:rPr>
        <w:t>4.3. Marcado CE</w:t>
      </w:r>
    </w:p>
    <w:p>
      <w:pPr>
        <w:pStyle w:val="ListBullet"/>
        <w:ind w:left="357"/>
        <w:jc w:val="both"/>
      </w:pPr>
      <w:r>
        <w:rPr>
          <w:rFonts w:ascii="Cambria" w:hAnsi="Cambria" w:cs="Cambria" w:eastAsia="Cambria"/>
          <w:sz w:val="22"/>
        </w:rPr>
        <w:t>Elemento fundamental del Nuevo Enfoque. Obligatorio en muchas Directivas, no en todas</w:t>
      </w:r>
    </w:p>
    <w:p>
      <w:pPr>
        <w:pStyle w:val="ListBullet"/>
        <w:ind w:left="357"/>
        <w:jc w:val="both"/>
      </w:pPr>
      <w:r>
        <w:rPr>
          <w:rFonts w:ascii="Cambria" w:hAnsi="Cambria" w:cs="Cambria" w:eastAsia="Cambria"/>
          <w:sz w:val="22"/>
        </w:rPr>
        <w:t>Indica conformidad con los requisitos esenciales y evaluación realizada</w:t>
      </w:r>
    </w:p>
    <w:p>
      <w:pPr>
        <w:pStyle w:val="ListBullet"/>
        <w:ind w:left="357"/>
        <w:jc w:val="both"/>
      </w:pPr>
      <w:r>
        <w:rPr>
          <w:rFonts w:ascii="Cambria" w:hAnsi="Cambria" w:cs="Cambria" w:eastAsia="Cambria"/>
          <w:sz w:val="22"/>
        </w:rPr>
        <w:t xml:space="preserve">Antes de comercializar o poner en servicio. Con organismo notificado, seguido de su </w:t>
      </w:r>
      <w:r>
        <w:rPr>
          <w:rFonts w:ascii="Cambria" w:hAnsi="Cambria" w:cs="Cambria" w:eastAsia="Cambria"/>
          <w:b/>
          <w:sz w:val="22"/>
        </w:rPr>
        <w:t>número de identificación</w:t>
      </w:r>
    </w:p>
    <w:p>
      <w:pPr>
        <w:pStyle w:val="ListBullet"/>
        <w:ind w:left="357"/>
        <w:jc w:val="both"/>
      </w:pPr>
      <w:r>
        <w:rPr>
          <w:rFonts w:ascii="Cambria" w:hAnsi="Cambria" w:cs="Cambria" w:eastAsia="Cambria"/>
          <w:sz w:val="22"/>
        </w:rPr>
        <w:t>Solo si una normativa lo dispone. Con varias, presume conformidad con todas</w:t>
      </w:r>
    </w:p>
    <w:p>
      <w:pPr>
        <w:pStyle w:val="ListBullet"/>
        <w:ind w:left="357"/>
        <w:jc w:val="both"/>
      </w:pPr>
      <w:r>
        <w:rPr>
          <w:rFonts w:ascii="Cambria" w:hAnsi="Cambria" w:cs="Cambria" w:eastAsia="Cambria"/>
          <w:b/>
          <w:sz w:val="22"/>
        </w:rPr>
        <w:t>Visible, legible e indeleble</w:t>
      </w:r>
      <w:r>
        <w:rPr>
          <w:rFonts w:ascii="Cambria" w:hAnsi="Cambria" w:cs="Cambria" w:eastAsia="Cambria"/>
          <w:sz w:val="22"/>
        </w:rPr>
        <w:t>, en producto o placa. Si no es posible, en embalaje y documentos</w:t>
      </w:r>
    </w:p>
    <w:p>
      <w:pPr>
        <w:pStyle w:val="Heading1"/>
      </w:pPr>
      <w:r>
        <w:rPr>
          <w:rFonts w:ascii="Cambria" w:hAnsi="Cambria" w:cs="Cambria" w:eastAsia="Cambria"/>
          <w:b/>
          <w:color w:val="0F4761"/>
          <w:sz w:val="28"/>
        </w:rPr>
        <w:t>5. CONCLUSIÓN</w:t>
      </w:r>
    </w:p>
    <w:p>
      <w:pPr>
        <w:pStyle w:val="ListBullet"/>
        <w:ind w:left="357"/>
        <w:jc w:val="both"/>
      </w:pPr>
      <w:r>
        <w:rPr>
          <w:rFonts w:ascii="Cambria" w:hAnsi="Cambria" w:cs="Cambria" w:eastAsia="Cambria"/>
          <w:sz w:val="22"/>
        </w:rPr>
        <w:t>Normalización UE: instrumento del mercado interior, con armonización y reconocimiento mutuo</w:t>
      </w:r>
    </w:p>
    <w:p>
      <w:pPr>
        <w:pStyle w:val="ListBullet"/>
        <w:ind w:left="357"/>
        <w:jc w:val="both"/>
      </w:pPr>
      <w:r>
        <w:rPr>
          <w:rFonts w:ascii="Cambria" w:hAnsi="Cambria" w:cs="Cambria" w:eastAsia="Cambria"/>
          <w:sz w:val="22"/>
        </w:rPr>
        <w:t xml:space="preserve">Agroalimentario: </w:t>
      </w:r>
      <w:r>
        <w:rPr>
          <w:rFonts w:ascii="Cambria" w:hAnsi="Cambria" w:cs="Cambria" w:eastAsia="Cambria"/>
          <w:b/>
          <w:sz w:val="22"/>
        </w:rPr>
        <w:t>OCM Única</w:t>
      </w:r>
      <w:r>
        <w:rPr>
          <w:rFonts w:ascii="Cambria" w:hAnsi="Cambria" w:cs="Cambria" w:eastAsia="Cambria"/>
          <w:sz w:val="22"/>
        </w:rPr>
        <w:t xml:space="preserve"> y colaboración con CEPE/NU, actualizada por el </w:t>
      </w:r>
      <w:r>
        <w:rPr>
          <w:rFonts w:ascii="Cambria" w:hAnsi="Cambria" w:cs="Cambria" w:eastAsia="Cambria"/>
          <w:b/>
          <w:sz w:val="22"/>
        </w:rPr>
        <w:t>Reglamento Delegado (UE) 2023/2429</w:t>
      </w:r>
    </w:p>
    <w:p>
      <w:pPr>
        <w:pStyle w:val="ListBullet"/>
        <w:ind w:left="357"/>
        <w:jc w:val="both"/>
      </w:pPr>
      <w:r>
        <w:rPr>
          <w:rFonts w:ascii="Cambria" w:hAnsi="Cambria" w:cs="Cambria" w:eastAsia="Cambria"/>
          <w:sz w:val="22"/>
        </w:rPr>
        <w:t>Industrial: Nuevo Enfoque con normas armonizadas de CEN, CENELEC y ETSI, y NML (765/2008, 768/2008/CE, 2019/1020)</w:t>
      </w:r>
    </w:p>
    <w:p>
      <w:pPr>
        <w:pStyle w:val="ListBullet"/>
        <w:ind w:left="357"/>
        <w:jc w:val="both"/>
      </w:pPr>
      <w:r>
        <w:rPr>
          <w:rFonts w:ascii="Cambria" w:hAnsi="Cambria" w:cs="Cambria" w:eastAsia="Cambria"/>
          <w:sz w:val="22"/>
        </w:rPr>
        <w:t xml:space="preserve">Para el </w:t>
      </w:r>
      <w:r>
        <w:rPr>
          <w:rFonts w:ascii="Cambria" w:hAnsi="Cambria" w:cs="Cambria" w:eastAsia="Cambria"/>
          <w:b/>
          <w:sz w:val="22"/>
        </w:rPr>
        <w:t>SOIVRE</w:t>
      </w:r>
      <w:r>
        <w:rPr>
          <w:rFonts w:ascii="Cambria" w:hAnsi="Cambria" w:cs="Cambria" w:eastAsia="Cambria"/>
          <w:sz w:val="22"/>
        </w:rPr>
        <w:t>, este doble marco determina requisitos del control de calidad comercial y de seguridad</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eastAsia="Cambria"/>
        <w:color w:val="595959"/>
        <w:sz w:val="18"/>
      </w:rPr>
      <w:fldChar w:fldCharType="begin"/>
    </w:r>
    <w:r>
      <w:rPr>
        <w:rFonts w:ascii="Cambria" w:hAnsi="Cambria" w:cs="Cambria" w:eastAsia="Cambria"/>
        <w:color w:val="595959"/>
        <w:sz w:val="18"/>
      </w:rPr>
      <w:instrText xml:space="preserve">PAGE</w:instrText>
    </w:r>
    <w:r>
      <w:rPr>
        <w:rFonts w:ascii="Cambria" w:hAnsi="Cambria" w:cs="Cambria" w:eastAsia="Cambria"/>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both"/>
    </w:pPr>
    <w:r>
      <w:rPr>
        <w:rFonts w:ascii="Cambria" w:hAnsi="Cambria" w:cs="Cambria" w:eastAsia="Cambria"/>
        <w:b/>
        <w:i/>
        <w:color w:val="595959"/>
        <w:sz w:val="18"/>
      </w:rPr>
      <w:t>TEMA 43 – Normalización en el seno de la Unión Europea. Actividad normalizadora en el seno de la UE en el ámbito alimentario. Actividad normalizadora en el seno de la UE en el ámbito industrial: especial referencia al ámbito del Nuevo Enfoque. Mandatos de normalización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lang w:val="es-ES" w:eastAsia="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b/>
      <w:bCs/>
      <w:color w:val="0F4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F47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mbria" w:hAnsi="Cambria"/>
      <w:sz w:val="22"/>
    </w:rPr>
  </w:style>
  <w:style w:type="paragraph" w:styleId="ListBullet2">
    <w:name w:val="List Bullet 2"/>
    <w:basedOn w:val="Normal"/>
    <w:uiPriority w:val="99"/>
    <w:unhideWhenUsed/>
    <w:rsid w:val="00326F90"/>
    <w:pPr>
      <w:numPr>
        <w:numId w:val="2"/>
      </w:numPr>
      <w:spacing w:after="40"/>
      <w:contextualSpacing/>
    </w:pPr>
    <w:rPr>
      <w:rFonts w:ascii="Cambria" w:hAnsi="Cambria"/>
      <w:sz w:val="22"/>
    </w:rPr>
  </w:style>
  <w:style w:type="paragraph" w:styleId="ListBullet3">
    <w:name w:val="List Bullet 3"/>
    <w:basedOn w:val="Normal"/>
    <w:uiPriority w:val="99"/>
    <w:unhideWhenUsed/>
    <w:rsid w:val="00326F90"/>
    <w:pPr>
      <w:numPr>
        <w:numId w:val="3"/>
      </w:numPr>
      <w:spacing w:after="40"/>
      <w:contextualSpacing/>
    </w:pPr>
    <w:rPr>
      <w:rFonts w:ascii="Cambria" w:hAnsi="Cambria"/>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43 – Normalización en el seno de la Unión Europea. Actividad normalizadora en el seno de la UE en el ámbito alimentario. Actividad normalizadora en el seno de la UE en el ámbito industrial: especial referencia al ámbito del Nuevo Enfoque. Mandatos...</dc:title>
  <dc:subject>Esquema del temario de oposiciones al SOIVRE</dc:subject>
  <dc:creator>Sergio Argudo Santiago</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