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</w:t>
      </w:r>
      <w:r>
        <w:rPr>
          <w:rFonts w:ascii="Cambria" w:hAnsi="Cambria" w:cs="Cambria" w:eastAsia="Cambria"/>
          <w:sz w:val="22"/>
        </w:rPr>
        <w:t>: concepto subjetivo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Sentido amplio: grado de adecuación a </w:t>
      </w:r>
      <w:r>
        <w:rPr>
          <w:rFonts w:ascii="Cambria" w:hAnsi="Cambria" w:cs="Cambria" w:eastAsia="Cambria"/>
          <w:b/>
          <w:sz w:val="22"/>
        </w:rPr>
        <w:t>necesidades humanas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Sentido estricto: cumplimiento de características y parámetros de </w:t>
      </w:r>
      <w:r>
        <w:rPr>
          <w:rFonts w:ascii="Cambria" w:hAnsi="Cambria" w:cs="Cambria" w:eastAsia="Cambria"/>
          <w:b/>
          <w:sz w:val="22"/>
        </w:rPr>
        <w:t>normas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Dos aspectos: </w:t>
      </w:r>
      <w:r>
        <w:rPr>
          <w:rFonts w:ascii="Cambria" w:hAnsi="Cambria" w:cs="Cambria" w:eastAsia="Cambria"/>
          <w:b/>
          <w:sz w:val="22"/>
        </w:rPr>
        <w:t>calidad sanitaria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 seguro puede ser rechazado por calidad comercial inadecuada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Órgano: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en DT y DP de Comercio, de la </w:t>
      </w:r>
      <w:r>
        <w:rPr>
          <w:rFonts w:ascii="Cambria" w:hAnsi="Cambria" w:cs="Cambria" w:eastAsia="Cambria"/>
          <w:b/>
          <w:sz w:val="22"/>
        </w:rPr>
        <w:t>SG de Inspección, Certificación y Asistencia Técnica del Comercio Exterior</w:t>
      </w:r>
      <w:r>
        <w:rPr>
          <w:rFonts w:ascii="Cambria" w:hAnsi="Cambria" w:cs="Cambria" w:eastAsia="Cambria"/>
          <w:sz w:val="22"/>
        </w:rPr>
        <w:t xml:space="preserve">, dentro de la </w:t>
      </w:r>
      <w:r>
        <w:rPr>
          <w:rFonts w:ascii="Cambria" w:hAnsi="Cambria" w:cs="Cambria" w:eastAsia="Cambria"/>
          <w:b/>
          <w:sz w:val="22"/>
        </w:rPr>
        <w:t>DG de Política Comercial y Seguridad Económica</w:t>
      </w:r>
      <w:r>
        <w:rPr>
          <w:rFonts w:ascii="Cambria" w:hAnsi="Cambria" w:cs="Cambria" w:eastAsia="Cambria"/>
          <w:sz w:val="22"/>
        </w:rPr>
        <w:t xml:space="preserve">, Secretaría de Estado de Comercio, </w:t>
      </w:r>
      <w:r>
        <w:rPr>
          <w:rFonts w:ascii="Cambria" w:hAnsi="Cambria" w:cs="Cambria" w:eastAsia="Cambria"/>
          <w:b/>
          <w:sz w:val="22"/>
        </w:rPr>
        <w:t>MECE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>: factores y parámetros externos e internos exigidos para estar en circuitos comerciales y satisfacer al mercado de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 alimentario: valor añadido por selección, categorías, calibres, verificación, acondicionamiento, envasado, almacenaje y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externa</w:t>
      </w:r>
      <w:r>
        <w:rPr>
          <w:rFonts w:ascii="Cambria" w:hAnsi="Cambria" w:cs="Cambria" w:eastAsia="Cambria"/>
          <w:sz w:val="22"/>
        </w:rPr>
        <w:t>: características aparentes (naturaleza, forma, tamaño, color, integridad, defectos, frescura, firmeza, humedad, suciedad, olores)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Ensayos </w:t>
      </w:r>
      <w:r>
        <w:rPr>
          <w:rFonts w:ascii="Cambria" w:hAnsi="Cambria" w:cs="Cambria" w:eastAsia="Cambria"/>
          <w:b/>
          <w:sz w:val="22"/>
        </w:rPr>
        <w:t>no destructivos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interna</w:t>
      </w:r>
      <w:r>
        <w:rPr>
          <w:rFonts w:ascii="Cambria" w:hAnsi="Cambria" w:cs="Cambria" w:eastAsia="Cambria"/>
          <w:sz w:val="22"/>
        </w:rPr>
        <w:t>: madurez comercial, aroma y sabor (cata)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Ensayos </w:t>
      </w:r>
      <w:r>
        <w:rPr>
          <w:rFonts w:ascii="Cambria" w:hAnsi="Cambria" w:cs="Cambria" w:eastAsia="Cambria"/>
          <w:b/>
          <w:sz w:val="22"/>
        </w:rPr>
        <w:t>destructivos</w:t>
      </w:r>
      <w:r>
        <w:rPr>
          <w:rFonts w:ascii="Cambria" w:hAnsi="Cambria" w:cs="Cambria" w:eastAsia="Cambria"/>
          <w:sz w:val="22"/>
        </w:rPr>
        <w:t xml:space="preserve"> (azúcares, ácidos, grasa)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Requisitos recogidos en </w:t>
      </w:r>
      <w:r>
        <w:rPr>
          <w:rFonts w:ascii="Cambria" w:hAnsi="Cambria" w:cs="Cambria" w:eastAsia="Cambria"/>
          <w:b/>
          <w:sz w:val="22"/>
        </w:rPr>
        <w:t>Normas de Comercialización de la UE</w:t>
      </w:r>
      <w:r>
        <w:rPr>
          <w:rFonts w:ascii="Cambria" w:hAnsi="Cambria" w:cs="Cambria" w:eastAsia="Cambria"/>
          <w:sz w:val="22"/>
        </w:rPr>
        <w:t xml:space="preserve"> (antes Normas de Calidad Comercial)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Criterios de selección, valores de parámetros y categorías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</w:t>
      </w:r>
      <w:r>
        <w:rPr>
          <w:rFonts w:ascii="Cambria" w:hAnsi="Cambria" w:cs="Cambria" w:eastAsia="Cambria"/>
          <w:sz w:val="22"/>
        </w:rPr>
        <w:t xml:space="preserve"> (Acuerdo </w:t>
      </w:r>
      <w:r>
        <w:rPr>
          <w:rFonts w:ascii="Cambria" w:hAnsi="Cambria" w:cs="Cambria" w:eastAsia="Cambria"/>
          <w:b/>
          <w:sz w:val="22"/>
        </w:rPr>
        <w:t>OTC/TBT</w:t>
      </w:r>
      <w:r>
        <w:rPr>
          <w:rFonts w:ascii="Cambria" w:hAnsi="Cambria" w:cs="Cambria" w:eastAsia="Cambria"/>
          <w:sz w:val="22"/>
        </w:rPr>
        <w:t xml:space="preserve"> de la OMC): documento aprobado por institución reconocida, para uso común y repetido, de observancia </w:t>
      </w:r>
      <w:r>
        <w:rPr>
          <w:rFonts w:ascii="Cambria" w:hAnsi="Cambria" w:cs="Cambria" w:eastAsia="Cambria"/>
          <w:b/>
          <w:sz w:val="22"/>
        </w:rPr>
        <w:t>no obligatoria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Normalización internacional: facilita el comercio, lenguaje común entre fabricantes, administraciones, comercializadores y consumidores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EVALUACIÓN Y CERTIFICACIÓN DE LA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 de la evaluación y certificación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Adecuación a la norma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Competencia leal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Eliminar productos de escasa calidad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Proteger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Facilitar relaciones comerciales exteriores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Certificación: conformidad con la norma y documento válido ante terceros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Evaluación con muestreos, inspecciones y ensayos, dos tipos complementarios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Subjetiva</w:t>
      </w:r>
      <w:r>
        <w:rPr>
          <w:rFonts w:ascii="Cambria" w:hAnsi="Cambria" w:cs="Cambria" w:eastAsia="Cambria"/>
          <w:sz w:val="22"/>
        </w:rPr>
        <w:t>: sensorial, caracteres organolépticos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Objetiva</w:t>
      </w:r>
      <w:r>
        <w:rPr>
          <w:rFonts w:ascii="Cambria" w:hAnsi="Cambria" w:cs="Cambria" w:eastAsia="Cambria"/>
          <w:sz w:val="22"/>
        </w:rPr>
        <w:t xml:space="preserve">: métodos físicos (calibradores, regla) y químicos o bioquímicos (madurez, guía </w:t>
      </w: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 </w:t>
      </w:r>
      <w:r>
        <w:rPr>
          <w:rFonts w:ascii="Cambria" w:hAnsi="Cambria" w:cs="Cambria" w:eastAsia="Cambria"/>
          <w:b/>
          <w:sz w:val="22"/>
        </w:rPr>
        <w:t>obligatoria u oficial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enfoques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Control oficial</w:t>
      </w:r>
      <w:r>
        <w:rPr>
          <w:rFonts w:ascii="Cambria" w:hAnsi="Cambria" w:cs="Cambria" w:eastAsia="Cambria"/>
          <w:sz w:val="22"/>
        </w:rPr>
        <w:t xml:space="preserve"> impuesto por ley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Sistemas voluntarios</w:t>
      </w:r>
      <w:r>
        <w:rPr>
          <w:rFonts w:ascii="Cambria" w:hAnsi="Cambria" w:cs="Cambria" w:eastAsia="Cambria"/>
          <w:sz w:val="22"/>
        </w:rPr>
        <w:t xml:space="preserve"> de certificación (productor o cliente)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Control oficial de la calidad comercial. Servicios oficiales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 de Reglamentos comunitarios en comercio exterior por </w:t>
      </w:r>
      <w:r>
        <w:rPr>
          <w:rFonts w:ascii="Cambria" w:hAnsi="Cambria" w:cs="Cambria" w:eastAsia="Cambria"/>
          <w:b/>
          <w:sz w:val="22"/>
        </w:rPr>
        <w:t>tres organismos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certifica cumplimiento de normas de comercialización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Cuerpo de Inspectores (A1) y Cuerpo de Ingenieros Técnicos (A2)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SG de Sanidad Exterior</w:t>
      </w:r>
      <w:r>
        <w:rPr>
          <w:rFonts w:ascii="Cambria" w:hAnsi="Cambria" w:cs="Cambria" w:eastAsia="Cambria"/>
          <w:sz w:val="22"/>
        </w:rPr>
        <w:t xml:space="preserve"> (Ministerio de Sanidad): aptitud para el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SG de Acuerdos Sanitarios y Control en Frontera</w:t>
      </w:r>
      <w:r>
        <w:rPr>
          <w:rFonts w:ascii="Cambria" w:hAnsi="Cambria" w:cs="Cambria" w:eastAsia="Cambria"/>
          <w:sz w:val="22"/>
        </w:rPr>
        <w:t xml:space="preserve"> (MAPA): evitar propagación de plagas en vegetales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organismo nacional responsable de la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 de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, anexos actualizados por </w:t>
      </w:r>
      <w:r>
        <w:rPr>
          <w:rFonts w:ascii="Cambria" w:hAnsi="Cambria" w:cs="Cambria" w:eastAsia="Cambria"/>
          <w:b/>
          <w:sz w:val="22"/>
        </w:rPr>
        <w:t>Órdenes 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ECC/2566/2015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330/2008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Nueve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Inspección y control de calidad comercial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Asistencia técnica al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Política Comercial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Promoción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 de Laboratorios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interior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Destinos: MECE (DT y DP, servicios centrales), </w:t>
      </w:r>
      <w:r>
        <w:rPr>
          <w:rFonts w:ascii="Cambria" w:hAnsi="Cambria" w:cs="Cambria" w:eastAsia="Cambria"/>
          <w:b/>
          <w:sz w:val="22"/>
        </w:rPr>
        <w:t>OFECOMES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REPER</w:t>
      </w:r>
      <w:r>
        <w:rPr>
          <w:rFonts w:ascii="Cambria" w:hAnsi="Cambria" w:cs="Cambria" w:eastAsia="Cambria"/>
          <w:sz w:val="22"/>
        </w:rPr>
        <w:t xml:space="preserve"> (Bruselas), OMC y UNCTAD (Ginebra)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También CNMC, MAEUEC, MAPA, Sanidad, Comisión Europea, Banco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Inspección, control de calidad comercial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Ministerial 31 julio 1989</w:t>
      </w:r>
      <w:r>
        <w:rPr>
          <w:rFonts w:ascii="Cambria" w:hAnsi="Cambria" w:cs="Cambria" w:eastAsia="Cambria"/>
          <w:sz w:val="22"/>
        </w:rPr>
        <w:t>: SOIVRE vela por las normas de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Productos del anexo de la </w:t>
      </w:r>
      <w:r>
        <w:rPr>
          <w:rFonts w:ascii="Cambria" w:hAnsi="Cambria" w:cs="Cambria" w:eastAsia="Cambria"/>
          <w:b/>
          <w:sz w:val="22"/>
        </w:rPr>
        <w:t>Orden PRE/3026/2003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Antes </w:t>
      </w:r>
      <w:r>
        <w:rPr>
          <w:rFonts w:ascii="Cambria" w:hAnsi="Cambria" w:cs="Cambria" w:eastAsia="Cambria"/>
          <w:b/>
          <w:sz w:val="22"/>
        </w:rPr>
        <w:t>CATICE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Lugar: </w:t>
      </w:r>
      <w:r>
        <w:rPr>
          <w:rFonts w:ascii="Cambria" w:hAnsi="Cambria" w:cs="Cambria" w:eastAsia="Cambria"/>
          <w:b/>
          <w:sz w:val="22"/>
        </w:rPr>
        <w:t>PIF</w:t>
      </w:r>
      <w:r>
        <w:rPr>
          <w:rFonts w:ascii="Cambria" w:hAnsi="Cambria" w:cs="Cambria" w:eastAsia="Cambria"/>
          <w:sz w:val="22"/>
        </w:rPr>
        <w:t xml:space="preserve"> y centros de inspección, recintos aduaneros o instalaciones del operador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Resolución 11 abril 2006: PIF 24 horas, como </w:t>
      </w:r>
      <w:r>
        <w:rPr>
          <w:rFonts w:ascii="Cambria" w:hAnsi="Cambria" w:cs="Cambria" w:eastAsia="Cambria"/>
          <w:b/>
          <w:sz w:val="22"/>
        </w:rPr>
        <w:t>Algeciras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Solicitud: notificar operaciones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Exentas: expediciones sin carácter comercial y exenciones del </w:t>
      </w:r>
      <w:r>
        <w:rPr>
          <w:rFonts w:ascii="Cambria" w:hAnsi="Cambria" w:cs="Cambria" w:eastAsia="Cambria"/>
          <w:b/>
          <w:sz w:val="22"/>
        </w:rPr>
        <w:t>Reglamento Delegado (UE) 2023/2429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Certificación voluntaria gratuita en instalaciones del operador, aviso </w:t>
      </w:r>
      <w:r>
        <w:rPr>
          <w:rFonts w:ascii="Cambria" w:hAnsi="Cambria" w:cs="Cambria" w:eastAsia="Cambria"/>
          <w:b/>
          <w:sz w:val="22"/>
        </w:rPr>
        <w:t>24 horas</w:t>
      </w:r>
      <w:r>
        <w:rPr>
          <w:rFonts w:ascii="Cambria" w:hAnsi="Cambria" w:cs="Cambria" w:eastAsia="Cambria"/>
          <w:sz w:val="22"/>
        </w:rPr>
        <w:t xml:space="preserve"> 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Resultado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Conforme: </w:t>
      </w:r>
      <w:r>
        <w:rPr>
          <w:rFonts w:ascii="Cambria" w:hAnsi="Cambria" w:cs="Cambria" w:eastAsia="Cambria"/>
          <w:b/>
          <w:sz w:val="22"/>
        </w:rPr>
        <w:t>Certificado de Control de Calidad Comercial SOIVRE</w:t>
      </w:r>
      <w:r>
        <w:rPr>
          <w:rFonts w:ascii="Cambria" w:hAnsi="Cambria" w:cs="Cambria" w:eastAsia="Cambria"/>
          <w:sz w:val="22"/>
        </w:rPr>
        <w:t xml:space="preserve"> (terceros países) o </w:t>
      </w:r>
      <w:r>
        <w:rPr>
          <w:rFonts w:ascii="Cambria" w:hAnsi="Cambria" w:cs="Cambria" w:eastAsia="Cambria"/>
          <w:b/>
          <w:sz w:val="22"/>
        </w:rPr>
        <w:t>Certificado CEE/SOIVRE</w:t>
      </w:r>
      <w:r>
        <w:rPr>
          <w:rFonts w:ascii="Cambria" w:hAnsi="Cambria" w:cs="Cambria" w:eastAsia="Cambria"/>
          <w:sz w:val="22"/>
        </w:rPr>
        <w:t xml:space="preserve"> (frutas y hortalizas)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No conforme: </w:t>
      </w:r>
      <w:r>
        <w:rPr>
          <w:rFonts w:ascii="Cambria" w:hAnsi="Cambria" w:cs="Cambria" w:eastAsia="Cambria"/>
          <w:b/>
          <w:sz w:val="22"/>
        </w:rPr>
        <w:t>Acta de No Conformidad</w:t>
      </w:r>
      <w:r>
        <w:rPr>
          <w:rFonts w:ascii="Cambria" w:hAnsi="Cambria" w:cs="Cambria" w:eastAsia="Cambria"/>
          <w:sz w:val="22"/>
        </w:rPr>
        <w:t>, sin presentar en otro centro sin autorización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Colaboración con organismos extranjeros: equivalencia de controles en origen, envíos con certificado SOIVRE libres de control en destino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Canadá</w:t>
      </w:r>
      <w:r>
        <w:rPr>
          <w:rFonts w:ascii="Cambria" w:hAnsi="Cambria" w:cs="Cambria" w:eastAsia="Cambria"/>
          <w:sz w:val="22"/>
        </w:rPr>
        <w:t>: semiconservas (histaminas), conservas de baja acidez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>: clementinas y cerámicas en contacto con alimentos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Francia</w:t>
      </w:r>
      <w:r>
        <w:rPr>
          <w:rFonts w:ascii="Cambria" w:hAnsi="Cambria" w:cs="Cambria" w:eastAsia="Cambria"/>
          <w:sz w:val="22"/>
        </w:rPr>
        <w:t>: fraude en certificado de cítricos sin tratamiento postcosecha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Taiwán</w:t>
      </w:r>
      <w:r>
        <w:rPr>
          <w:rFonts w:ascii="Cambria" w:hAnsi="Cambria" w:cs="Cambria" w:eastAsia="Cambria"/>
          <w:sz w:val="22"/>
        </w:rPr>
        <w:t>: clorofilas cúpricas en aceites de orujo y pepita de uva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Promoción con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: certificación SOIVRE asegura mínimo de residuos de pesticidas y cumplimiento de normas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Frutas y hortalizas a la UE: inspección en almacenes del operador,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de Ejecución (UE) 2023/2430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Productos industriales: </w:t>
      </w:r>
      <w:r>
        <w:rPr>
          <w:rFonts w:ascii="Cambria" w:hAnsi="Cambria" w:cs="Cambria" w:eastAsia="Cambria"/>
          <w:b/>
          <w:sz w:val="22"/>
        </w:rPr>
        <w:t>Real Decreto 330/2008</w:t>
      </w:r>
      <w:r>
        <w:rPr>
          <w:rFonts w:ascii="Cambria" w:hAnsi="Cambria" w:cs="Cambria" w:eastAsia="Cambria"/>
          <w:sz w:val="22"/>
        </w:rPr>
        <w:t xml:space="preserve">, Anexo I modificado por </w:t>
      </w:r>
      <w:r>
        <w:rPr>
          <w:rFonts w:ascii="Cambria" w:hAnsi="Cambria" w:cs="Cambria" w:eastAsia="Cambria"/>
          <w:b/>
          <w:sz w:val="22"/>
        </w:rPr>
        <w:t>Orden PRE/735/2010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PJC/161/2026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Calzado, textil, juguetes, pequeño material eléctrico, EPI, muebles y madera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Asistencia técnica al exportador</w:t>
      </w:r>
      <w:r>
        <w:rPr>
          <w:rFonts w:ascii="Cambria" w:hAnsi="Cambria" w:cs="Cambria" w:eastAsia="Cambria"/>
          <w:sz w:val="22"/>
        </w:rPr>
        <w:t xml:space="preserve">: evitar </w:t>
      </w:r>
      <w:r>
        <w:rPr>
          <w:rFonts w:ascii="Cambria" w:hAnsi="Cambria" w:cs="Cambria" w:eastAsia="Cambria"/>
          <w:b/>
          <w:sz w:val="22"/>
        </w:rPr>
        <w:t>OTC</w:t>
      </w:r>
      <w:r>
        <w:rPr>
          <w:rFonts w:ascii="Cambria" w:hAnsi="Cambria" w:cs="Cambria" w:eastAsia="Cambria"/>
          <w:sz w:val="22"/>
        </w:rPr>
        <w:t xml:space="preserve"> en la UE y con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Mercado Único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Remoción de obstáculos: servicio de quejas de DG de Comercio Internacional e Inversiones y DG de Política Comercial y Seguridad Económica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Proyecto Línea Abierta</w:t>
      </w:r>
      <w:r>
        <w:rPr>
          <w:rFonts w:ascii="Cambria" w:hAnsi="Cambria" w:cs="Cambria" w:eastAsia="Cambria"/>
          <w:sz w:val="22"/>
        </w:rPr>
        <w:t xml:space="preserve"> con </w:t>
      </w:r>
      <w:r>
        <w:rPr>
          <w:rFonts w:ascii="Cambria" w:hAnsi="Cambria" w:cs="Cambria" w:eastAsia="Cambria"/>
          <w:b/>
          <w:sz w:val="22"/>
        </w:rPr>
        <w:t>CEOE</w:t>
      </w:r>
      <w:r>
        <w:rPr>
          <w:rFonts w:ascii="Cambria" w:hAnsi="Cambria" w:cs="Cambria" w:eastAsia="Cambria"/>
          <w:sz w:val="22"/>
        </w:rPr>
        <w:t xml:space="preserve"> desde 1993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Punto de contacto </w:t>
      </w:r>
      <w:r>
        <w:rPr>
          <w:rFonts w:ascii="Cambria" w:hAnsi="Cambria" w:cs="Cambria" w:eastAsia="Cambria"/>
          <w:b/>
          <w:sz w:val="22"/>
        </w:rPr>
        <w:t>Directiva (UE) 2015/1535</w:t>
      </w:r>
      <w:r>
        <w:rPr>
          <w:rFonts w:ascii="Cambria" w:hAnsi="Cambria" w:cs="Cambria" w:eastAsia="Cambria"/>
          <w:sz w:val="22"/>
        </w:rPr>
        <w:t xml:space="preserve">, canal con </w:t>
      </w:r>
      <w:r>
        <w:rPr>
          <w:rFonts w:ascii="Cambria" w:hAnsi="Cambria" w:cs="Cambria" w:eastAsia="Cambria"/>
          <w:b/>
          <w:sz w:val="22"/>
        </w:rPr>
        <w:t>ANFE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Terceros países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Punto de contacto y notificación del </w:t>
      </w:r>
      <w:r>
        <w:rPr>
          <w:rFonts w:ascii="Cambria" w:hAnsi="Cambria" w:cs="Cambria" w:eastAsia="Cambria"/>
          <w:b/>
          <w:sz w:val="22"/>
        </w:rPr>
        <w:t>Acuerdo OTC</w:t>
      </w:r>
      <w:r>
        <w:rPr>
          <w:rFonts w:ascii="Cambria" w:hAnsi="Cambria" w:cs="Cambria" w:eastAsia="Cambria"/>
          <w:sz w:val="22"/>
        </w:rPr>
        <w:t>, Comité una vez al año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Punto de contacto del </w:t>
      </w:r>
      <w:r>
        <w:rPr>
          <w:rFonts w:ascii="Cambria" w:hAnsi="Cambria" w:cs="Cambria" w:eastAsia="Cambria"/>
          <w:b/>
          <w:sz w:val="22"/>
        </w:rPr>
        <w:t>Acuerdo MSF</w:t>
      </w:r>
      <w:r>
        <w:rPr>
          <w:rFonts w:ascii="Cambria" w:hAnsi="Cambria" w:cs="Cambria" w:eastAsia="Cambria"/>
          <w:sz w:val="22"/>
        </w:rPr>
        <w:t>, Comité tres veces al año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Política Comercial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de Política Comercial</w:t>
      </w:r>
      <w:r>
        <w:rPr>
          <w:rFonts w:ascii="Cambria" w:hAnsi="Cambria" w:cs="Cambria" w:eastAsia="Cambria"/>
          <w:sz w:val="22"/>
        </w:rPr>
        <w:t xml:space="preserve"> (antes Comité 133): semanal en Bruselas, coordina la política comercial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ARM</w:t>
      </w:r>
      <w:r>
        <w:rPr>
          <w:rFonts w:ascii="Cambria" w:hAnsi="Cambria" w:cs="Cambria" w:eastAsia="Cambria"/>
          <w:sz w:val="22"/>
        </w:rPr>
        <w:t xml:space="preserve"> (Acuerdos de Reconocimiento Mutuo): EEUU, Canadá, Australia, Nueva Zelanda, Suiza, Japón e Israel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Promoción comercial</w:t>
      </w:r>
      <w:r>
        <w:rPr>
          <w:rFonts w:ascii="Cambria" w:hAnsi="Cambria" w:cs="Cambria" w:eastAsia="Cambria"/>
          <w:sz w:val="22"/>
        </w:rPr>
        <w:t xml:space="preserve"> desde 1994: certificados de conformidad, boletines de análisis, informes de condiciones de producción, toma de muestras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Normalización</w:t>
      </w:r>
      <w:r>
        <w:rPr>
          <w:rFonts w:ascii="Cambria" w:hAnsi="Cambria" w:cs="Cambria" w:eastAsia="Cambria"/>
          <w:sz w:val="22"/>
        </w:rPr>
        <w:t>, participa 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 xml:space="preserve"> de la CEPE/NU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REN</w:t>
      </w:r>
      <w:r>
        <w:rPr>
          <w:rFonts w:ascii="Cambria" w:hAnsi="Cambria" w:cs="Cambria" w:eastAsia="Cambria"/>
          <w:sz w:val="22"/>
        </w:rPr>
        <w:t>, grupo de expertos del Comité de Gestión de la OCM Única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Régimen </w:t>
      </w: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 xml:space="preserve"> de frutas y hortalizas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Comités </w:t>
      </w: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 xml:space="preserve"> de Sistemas de Inspección y Certificación (Australia) y Frutas y Hortalizas Frescas (México)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Comités técnicos de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(normas UNE)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 xml:space="preserve">, vigente desde 2 enero 2022, deroga el </w:t>
      </w:r>
      <w:r>
        <w:rPr>
          <w:rFonts w:ascii="Cambria" w:hAnsi="Cambria" w:cs="Cambria" w:eastAsia="Cambria"/>
          <w:b/>
          <w:sz w:val="22"/>
        </w:rPr>
        <w:t>Real Decreto 1739/1997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Autoridad Administrativa: DG de Biodiversidad, Bosques y Desertificación (</w:t>
      </w:r>
      <w:r>
        <w:rPr>
          <w:rFonts w:ascii="Cambria" w:hAnsi="Cambria" w:cs="Cambria" w:eastAsia="Cambria"/>
          <w:b/>
          <w:sz w:val="22"/>
        </w:rPr>
        <w:t>MITECO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Autoridad Científica: </w:t>
      </w:r>
      <w:r>
        <w:rPr>
          <w:rFonts w:ascii="Cambria" w:hAnsi="Cambria" w:cs="Cambria" w:eastAsia="Cambria"/>
          <w:b/>
          <w:sz w:val="22"/>
        </w:rPr>
        <w:t>CSIC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Encomienda de gestión</w:t>
      </w:r>
      <w:r>
        <w:rPr>
          <w:rFonts w:ascii="Cambria" w:hAnsi="Cambria" w:cs="Cambria" w:eastAsia="Cambria"/>
          <w:sz w:val="22"/>
        </w:rPr>
        <w:t xml:space="preserve"> MITECO y Comercio, 4 años hasta 28 enero 2027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SOIVRE: verificaciones documentales, de identidad y físicas en frontera y documentos </w:t>
      </w:r>
      <w:r>
        <w:rPr>
          <w:rFonts w:ascii="Cambria" w:hAnsi="Cambria" w:cs="Cambria" w:eastAsia="Cambria"/>
          <w:b/>
          <w:sz w:val="22"/>
        </w:rPr>
        <w:t>DIESAC</w:t>
      </w:r>
      <w:r>
        <w:rPr>
          <w:rFonts w:ascii="Cambria" w:hAnsi="Cambria" w:cs="Cambria" w:eastAsia="Cambria"/>
          <w:sz w:val="22"/>
        </w:rPr>
        <w:t>, bajo supervisión de la Autoridad Administrativa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MITECO: autorizaciones, permisos, certificados, registro de colecciones, representación de España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Asistencia a Aduanas, SEPRONA y Guardia Civil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12 puntos</w:t>
      </w:r>
      <w:r>
        <w:rPr>
          <w:rFonts w:ascii="Cambria" w:hAnsi="Cambria" w:cs="Cambria" w:eastAsia="Cambria"/>
          <w:sz w:val="22"/>
        </w:rPr>
        <w:t xml:space="preserve"> autorizados: Vigo, Málaga, Bilbao, Algeciras, Barcelona, Sevilla, Valencia, Palma, Alicante, Las Palmas, Madrid, Tenerife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Maderas CITES: Vilagarcía de Arousa, Marín, Santander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Coordinada por el </w:t>
      </w:r>
      <w:r>
        <w:rPr>
          <w:rFonts w:ascii="Cambria" w:hAnsi="Cambria" w:cs="Cambria" w:eastAsia="Cambria"/>
          <w:b/>
          <w:sz w:val="22"/>
        </w:rPr>
        <w:t>Centro Analítico de Inspección y Control de Calidad del Comercio Exterior</w:t>
      </w:r>
      <w:r>
        <w:rPr>
          <w:rFonts w:ascii="Cambria" w:hAnsi="Cambria" w:cs="Cambria" w:eastAsia="Cambria"/>
          <w:sz w:val="22"/>
        </w:rPr>
        <w:t xml:space="preserve"> (laboratorio central, Madrid)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17 laboratorios</w:t>
      </w:r>
      <w:r>
        <w:rPr>
          <w:rFonts w:ascii="Cambria" w:hAnsi="Cambria" w:cs="Cambria" w:eastAsia="Cambria"/>
          <w:sz w:val="22"/>
        </w:rPr>
        <w:t xml:space="preserve"> (16 periféricos más el central), algunos con acreditación </w:t>
      </w:r>
      <w:r>
        <w:rPr>
          <w:rFonts w:ascii="Cambria" w:hAnsi="Cambria" w:cs="Cambria" w:eastAsia="Cambria"/>
          <w:b/>
          <w:sz w:val="22"/>
        </w:rPr>
        <w:t>ENAC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de oficio (gratuitos), a solicitud de país Parte, voluntarios (precios públicos) y de contraste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interior</w:t>
      </w:r>
      <w:r>
        <w:rPr>
          <w:rFonts w:ascii="Cambria" w:hAnsi="Cambria" w:cs="Cambria" w:eastAsia="Cambria"/>
          <w:sz w:val="22"/>
        </w:rPr>
        <w:t>: Cámaras de Comercio, planes de competitividad del comercio minorista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Precios</w:t>
      </w:r>
      <w:r>
        <w:rPr>
          <w:rFonts w:ascii="Cambria" w:hAnsi="Cambria" w:cs="Cambria" w:eastAsia="Cambria"/>
          <w:sz w:val="22"/>
        </w:rPr>
        <w:t>: recogida y análisis de precios nacionales e internacionales, en desuso por internet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Sistemas voluntarios de certificación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Preferencia de pequeñas empresas por procedimientos colectivos y marca común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IGP, ETG</w:t>
      </w:r>
      <w:r>
        <w:rPr>
          <w:rFonts w:ascii="Cambria" w:hAnsi="Cambria" w:cs="Cambria" w:eastAsia="Cambria"/>
          <w:sz w:val="22"/>
        </w:rPr>
        <w:t xml:space="preserve">: creadas en 1992, hoy </w:t>
      </w:r>
      <w:r>
        <w:rPr>
          <w:rFonts w:ascii="Cambria" w:hAnsi="Cambria" w:cs="Cambria" w:eastAsia="Cambria"/>
          <w:b/>
          <w:sz w:val="22"/>
        </w:rPr>
        <w:t>Reglamento (UE) 2024/1143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logotipo comunitario («eurohoja»), </w:t>
      </w:r>
      <w:r>
        <w:rPr>
          <w:rFonts w:ascii="Cambria" w:hAnsi="Cambria" w:cs="Cambria" w:eastAsia="Cambria"/>
          <w:b/>
          <w:sz w:val="22"/>
        </w:rPr>
        <w:t>Reglamento (UE) 2018/848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>: normativa marco nacional, normas por cultivo de las Comunidades Autónomas, logotipo tras evaluación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Certificación voluntaria SOIVRE</w:t>
      </w:r>
      <w:r>
        <w:rPr>
          <w:rFonts w:ascii="Cambria" w:hAnsi="Cambria" w:cs="Cambria" w:eastAsia="Cambria"/>
          <w:sz w:val="22"/>
        </w:rPr>
        <w:t>: certificado de conformidad en origen aunque no sea exigido oficialmente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 9001</w:t>
      </w:r>
      <w:r>
        <w:rPr>
          <w:rFonts w:ascii="Cambria" w:hAnsi="Cambria" w:cs="Cambria" w:eastAsia="Cambria"/>
          <w:sz w:val="22"/>
        </w:rPr>
        <w:t>: calidad de gestión de procesos, no requisitos de calidad comercial del producto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GLOBALG.A.P.</w:t>
      </w:r>
      <w:r>
        <w:rPr>
          <w:rFonts w:ascii="Cambria" w:hAnsi="Cambria" w:cs="Cambria" w:eastAsia="Cambria"/>
          <w:sz w:val="22"/>
        </w:rPr>
        <w:t xml:space="preserve">: nombre desde 2007 (antes </w:t>
      </w:r>
      <w:r>
        <w:rPr>
          <w:rFonts w:ascii="Cambria" w:hAnsi="Cambria" w:cs="Cambria" w:eastAsia="Cambria"/>
          <w:b/>
          <w:sz w:val="22"/>
        </w:rPr>
        <w:t>EUREP-GAP</w:t>
      </w:r>
      <w:r>
        <w:rPr>
          <w:rFonts w:ascii="Cambria" w:hAnsi="Cambria" w:cs="Cambria" w:eastAsia="Cambria"/>
          <w:sz w:val="22"/>
        </w:rPr>
        <w:t>, 1997), norma privada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Inocuidad, trazabilidad, seguridad y bienestar laboral, medio ambiente en explotaciones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Frutas y hortalizas, flores, producción vegetal y animal, acuicultura, café verde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NORMAS DE COMERCIALIZACIÓN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Fin: criterios homogéneos para producciones agrícolas de todas las zonas comunitarias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Naturaleza: </w:t>
      </w:r>
      <w:r>
        <w:rPr>
          <w:rFonts w:ascii="Cambria" w:hAnsi="Cambria" w:cs="Cambria" w:eastAsia="Cambria"/>
          <w:b/>
          <w:sz w:val="22"/>
        </w:rPr>
        <w:t>reglamentos técnicos obligatorios</w:t>
      </w:r>
      <w:r>
        <w:rPr>
          <w:rFonts w:ascii="Cambria" w:hAnsi="Cambria" w:cs="Cambria" w:eastAsia="Cambria"/>
          <w:sz w:val="22"/>
        </w:rPr>
        <w:t xml:space="preserve"> en todas sus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todos los Estados Miembros y todas las fases (importación, exportación, intracomunitario, interior)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Aplicación inmediata, sin transposición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Tienen en cuenta normas del </w:t>
      </w: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 xml:space="preserve"> de la CEPE/NU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Productos no conformes: no pueden exponerse, comercializarse, importarse ni exportarse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OCM Única</w:t>
      </w:r>
      <w:r>
        <w:rPr>
          <w:rFonts w:ascii="Cambria" w:hAnsi="Cambria" w:cs="Cambria" w:eastAsia="Cambria"/>
          <w:sz w:val="22"/>
        </w:rPr>
        <w:t>: normas de calidad obligatorias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Frutas y hortalizas: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de Ejecución (UE) 2023/2430</w:t>
      </w:r>
      <w:r>
        <w:rPr>
          <w:rFonts w:ascii="Cambria" w:hAnsi="Cambria" w:cs="Cambria" w:eastAsia="Cambria"/>
          <w:sz w:val="22"/>
        </w:rPr>
        <w:t xml:space="preserve">, desde 1 enero 2025 sustituyen al </w:t>
      </w:r>
      <w:r>
        <w:rPr>
          <w:rFonts w:ascii="Cambria" w:hAnsi="Cambria" w:cs="Cambria" w:eastAsia="Cambria"/>
          <w:b/>
          <w:sz w:val="22"/>
        </w:rPr>
        <w:t>Reglamento (UE) 543/2011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Esquema de la Norma-Cuadro</w:t>
      </w:r>
      <w:r>
        <w:rPr>
          <w:rFonts w:ascii="Cambria" w:hAnsi="Cambria" w:cs="Cambria" w:eastAsia="Cambria"/>
          <w:sz w:val="22"/>
        </w:rPr>
        <w:t xml:space="preserve"> (heredero del Protocolo de Ginebra, sustituido en octubre 2015 por el </w:t>
      </w:r>
      <w:r>
        <w:rPr>
          <w:rFonts w:ascii="Cambria" w:hAnsi="Cambria" w:cs="Cambria" w:eastAsia="Cambria"/>
          <w:b/>
          <w:sz w:val="22"/>
        </w:rPr>
        <w:t>Geneva Understanding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Definición del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Calidad: características mínimas, madurez, categorías (</w:t>
      </w:r>
      <w:r>
        <w:rPr>
          <w:rFonts w:ascii="Cambria" w:hAnsi="Cambria" w:cs="Cambria" w:eastAsia="Cambria"/>
          <w:b/>
          <w:sz w:val="22"/>
        </w:rPr>
        <w:t>Extra, I, II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Calibrado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Tolerancias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Presentación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Marcado: envasador, naturaleza, origen, características comerciales, marca oficial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Controles en todas las 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Importados: normas iguales o equivalentes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Exportación: productos comunitarios cumplen normas comunitarias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Productos fuera de la OCM Única: el Estado Miembro decide si controla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OTRAS NORMAS DE CALIDAD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Programa conjunto </w:t>
      </w:r>
      <w:r>
        <w:rPr>
          <w:rFonts w:ascii="Cambria" w:hAnsi="Cambria" w:cs="Cambria" w:eastAsia="Cambria"/>
          <w:b/>
          <w:sz w:val="22"/>
        </w:rPr>
        <w:t>FAO/OMS</w:t>
      </w:r>
      <w:r>
        <w:rPr>
          <w:rFonts w:ascii="Cambria" w:hAnsi="Cambria" w:cs="Cambria" w:eastAsia="Cambria"/>
          <w:sz w:val="22"/>
        </w:rPr>
        <w:t>, creado en 1963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Comisión con </w:t>
      </w:r>
      <w:r>
        <w:rPr>
          <w:rFonts w:ascii="Cambria" w:hAnsi="Cambria" w:cs="Cambria" w:eastAsia="Cambria"/>
          <w:b/>
          <w:sz w:val="22"/>
        </w:rPr>
        <w:t>189 Miembros</w:t>
      </w:r>
      <w:r>
        <w:rPr>
          <w:rFonts w:ascii="Cambria" w:hAnsi="Cambria" w:cs="Cambria" w:eastAsia="Cambria"/>
          <w:sz w:val="22"/>
        </w:rPr>
        <w:t xml:space="preserve"> (188 Estados y la UE)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Atención a aspectos sanitarios, higiene y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Referencia de los Acuerdos </w:t>
      </w:r>
      <w:r>
        <w:rPr>
          <w:rFonts w:ascii="Cambria" w:hAnsi="Cambria" w:cs="Cambria" w:eastAsia="Cambria"/>
          <w:b/>
          <w:sz w:val="22"/>
        </w:rPr>
        <w:t>OTC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MSF</w:t>
      </w:r>
      <w:r>
        <w:rPr>
          <w:rFonts w:ascii="Cambria" w:hAnsi="Cambria" w:cs="Cambria" w:eastAsia="Cambria"/>
          <w:sz w:val="22"/>
        </w:rPr>
        <w:t>, base en conflictos (caso sardinas Perú contra UE)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«Las Tres Hermanas»: Codex, </w:t>
      </w:r>
      <w:r>
        <w:rPr>
          <w:rFonts w:ascii="Cambria" w:hAnsi="Cambria" w:cs="Cambria" w:eastAsia="Cambria"/>
          <w:b/>
          <w:sz w:val="22"/>
        </w:rPr>
        <w:t>OMSA</w:t>
      </w:r>
      <w:r>
        <w:rPr>
          <w:rFonts w:ascii="Cambria" w:hAnsi="Cambria" w:cs="Cambria" w:eastAsia="Cambria"/>
          <w:sz w:val="22"/>
        </w:rPr>
        <w:t xml:space="preserve"> (sanidad animal) y </w:t>
      </w:r>
      <w:r>
        <w:rPr>
          <w:rFonts w:ascii="Cambria" w:hAnsi="Cambria" w:cs="Cambria" w:eastAsia="Cambria"/>
          <w:b/>
          <w:sz w:val="22"/>
        </w:rPr>
        <w:t>CIPF</w:t>
      </w:r>
      <w:r>
        <w:rPr>
          <w:rFonts w:ascii="Cambria" w:hAnsi="Cambria" w:cs="Cambria" w:eastAsia="Cambria"/>
          <w:sz w:val="22"/>
        </w:rPr>
        <w:t xml:space="preserve"> (protección fitosanitaria)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CEPE/NU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Creada en 1947 por el </w:t>
      </w:r>
      <w:r>
        <w:rPr>
          <w:rFonts w:ascii="Cambria" w:hAnsi="Cambria" w:cs="Cambria" w:eastAsia="Cambria"/>
          <w:b/>
          <w:sz w:val="22"/>
        </w:rPr>
        <w:t>ECOSOC</w:t>
      </w:r>
      <w:r>
        <w:rPr>
          <w:rFonts w:ascii="Cambria" w:hAnsi="Cambria" w:cs="Cambria" w:eastAsia="Cambria"/>
          <w:sz w:val="22"/>
        </w:rPr>
        <w:t xml:space="preserve">, una de las cinco Comisiones Regionales, sede en Ginebra, </w:t>
      </w:r>
      <w:r>
        <w:rPr>
          <w:rFonts w:ascii="Cambria" w:hAnsi="Cambria" w:cs="Cambria" w:eastAsia="Cambria"/>
          <w:b/>
          <w:sz w:val="22"/>
        </w:rPr>
        <w:t>56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>: base directa de las normas de la OCM Única, solo requisitos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Armonización poco relevante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Folletos ilustrativos del Régimen para frutas y hortalizas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 privado, normas sobre todo de productos industriales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ISO/TC 34</w:t>
      </w:r>
      <w:r>
        <w:rPr>
          <w:rFonts w:ascii="Cambria" w:hAnsi="Cambria" w:cs="Cambria" w:eastAsia="Cambria"/>
          <w:sz w:val="22"/>
        </w:rPr>
        <w:t xml:space="preserve"> (Food Products): productos agrícolas y alimentarios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Calidad comercial y seguridad: dos pilares del control oficial en comercio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Funciones del SOIVRE evolucionan con el marco normativo (ejemplo: CITES, </w:t>
      </w: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de Comercialización de la UE: instrumento jurídico central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Complementadas por CODEX, CEPE/NU, OCDE e ISO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planos: certificación oficial y sistemas voluntarios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47 – Calidad comercial. Evaluación y certificación de la calidad comercial: los servicios oficiales de control de calidad comercial. Normas de comercialización de la UE. Otras normas de calidad internacionales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47 – Calidad comercial. Evaluación y certificación de la calidad comercial: los servicios oficiales de control de calidad comercial. Normas de comercialización de la UE. Otras normas de calidad internacionales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