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Consumidor: productos </w:t>
      </w:r>
      <w:r>
        <w:rPr>
          <w:rFonts w:ascii="Cambria" w:hAnsi="Cambria" w:cs="Cambria" w:eastAsia="Cambria"/>
          <w:b/>
          <w:sz w:val="22"/>
        </w:rPr>
        <w:t>naturales</w:t>
      </w:r>
      <w:r>
        <w:rPr>
          <w:rFonts w:ascii="Cambria" w:hAnsi="Cambria" w:cs="Cambria" w:eastAsia="Cambria"/>
          <w:sz w:val="22"/>
        </w:rPr>
        <w:t xml:space="preserve"> y con </w:t>
      </w:r>
      <w:r>
        <w:rPr>
          <w:rFonts w:ascii="Cambria" w:hAnsi="Cambria" w:cs="Cambria" w:eastAsia="Cambria"/>
          <w:b/>
          <w:sz w:val="22"/>
        </w:rPr>
        <w:t>mayor vida útil</w:t>
      </w:r>
      <w:r>
        <w:rPr>
          <w:rFonts w:ascii="Cambria" w:hAnsi="Cambria" w:cs="Cambria" w:eastAsia="Cambria"/>
          <w:sz w:val="22"/>
        </w:rPr>
        <w:t>, el envasado es estratégico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Libre circulación de alimentos sanos y seguros, principio del </w:t>
      </w:r>
      <w:r>
        <w:rPr>
          <w:rFonts w:ascii="Cambria" w:hAnsi="Cambria" w:cs="Cambria" w:eastAsia="Cambria"/>
          <w:b/>
          <w:sz w:val="22"/>
        </w:rPr>
        <w:t>Mercado Interior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Enfoque </w:t>
      </w:r>
      <w:r>
        <w:rPr>
          <w:rFonts w:ascii="Cambria" w:hAnsi="Cambria" w:cs="Cambria" w:eastAsia="Cambria"/>
          <w:b/>
          <w:sz w:val="22"/>
        </w:rPr>
        <w:t>global y preventivo</w:t>
      </w:r>
      <w:r>
        <w:rPr>
          <w:rFonts w:ascii="Cambria" w:hAnsi="Cambria" w:cs="Cambria" w:eastAsia="Cambria"/>
          <w:sz w:val="22"/>
        </w:rPr>
        <w:t xml:space="preserve"> "del campo a la mesa"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UE armoniza envases: protección ambiental, economía circular, sin barreras ni distorsiones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Marco nacional: </w:t>
      </w:r>
      <w:r>
        <w:rPr>
          <w:rFonts w:ascii="Cambria" w:hAnsi="Cambria" w:cs="Cambria" w:eastAsia="Cambria"/>
          <w:b/>
          <w:sz w:val="22"/>
        </w:rPr>
        <w:t>Real Decreto 1055/2022</w:t>
      </w:r>
      <w:r>
        <w:rPr>
          <w:rFonts w:ascii="Cambria" w:hAnsi="Cambria" w:cs="Cambria" w:eastAsia="Cambria"/>
          <w:sz w:val="22"/>
        </w:rPr>
        <w:t xml:space="preserve">, en consonancia con </w:t>
      </w:r>
      <w:r>
        <w:rPr>
          <w:rFonts w:ascii="Cambria" w:hAnsi="Cambria" w:cs="Cambria" w:eastAsia="Cambria"/>
          <w:b/>
          <w:sz w:val="22"/>
        </w:rPr>
        <w:t>Ley 7/2022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(UE) 2025/40 (PPWR)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ENVASES Y EMBALAJES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  <w:r>
        <w:rPr>
          <w:rFonts w:ascii="Cambria" w:hAnsi="Cambria" w:cs="Cambria" w:eastAsia="Cambria"/>
          <w:sz w:val="22"/>
        </w:rPr>
        <w:t xml:space="preserve"> (RD 1055/2022, sustituye a la Ley 11/1997)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Todo producto de cualquier material para </w:t>
      </w:r>
      <w:r>
        <w:rPr>
          <w:rFonts w:ascii="Cambria" w:hAnsi="Cambria" w:cs="Cambria" w:eastAsia="Cambria"/>
          <w:b/>
          <w:sz w:val="22"/>
        </w:rPr>
        <w:t>contener, proteger, manipular, distribuir y presentar</w:t>
      </w:r>
      <w:r>
        <w:rPr>
          <w:rFonts w:ascii="Cambria" w:hAnsi="Cambria" w:cs="Cambria" w:eastAsia="Cambria"/>
          <w:sz w:val="22"/>
        </w:rPr>
        <w:t xml:space="preserve"> mercancías, en cualquier fase de la cadena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Incluye artículos desechables o de un solo uso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Clasificación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Venta o primarios</w:t>
      </w:r>
      <w:r>
        <w:rPr>
          <w:rFonts w:ascii="Cambria" w:hAnsi="Cambria" w:cs="Cambria" w:eastAsia="Cambria"/>
          <w:sz w:val="22"/>
        </w:rPr>
        <w:t>: unidad de venta al consumidor final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Colectivos o secundarios</w:t>
      </w:r>
      <w:r>
        <w:rPr>
          <w:rFonts w:ascii="Cambria" w:hAnsi="Cambria" w:cs="Cambria" w:eastAsia="Cambria"/>
          <w:sz w:val="22"/>
        </w:rPr>
        <w:t>: agrupación de unidades de venta, separable sin alterar el producto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Transporte o terciarios</w:t>
      </w:r>
      <w:r>
        <w:rPr>
          <w:rFonts w:ascii="Cambria" w:hAnsi="Cambria" w:cs="Cambria" w:eastAsia="Cambria"/>
          <w:sz w:val="22"/>
        </w:rPr>
        <w:t>: facilitan manipulación y transporte, evitan deterioro físico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 envase es fuente de </w:t>
      </w:r>
      <w:r>
        <w:rPr>
          <w:rFonts w:ascii="Cambria" w:hAnsi="Cambria" w:cs="Cambria" w:eastAsia="Cambria"/>
          <w:b/>
          <w:sz w:val="22"/>
        </w:rPr>
        <w:t>información legal, trazabilidad y etiquetado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Funciones</w:t>
      </w:r>
      <w:r>
        <w:rPr>
          <w:rFonts w:ascii="Cambria" w:hAnsi="Cambria" w:cs="Cambria" w:eastAsia="Cambria"/>
          <w:sz w:val="22"/>
        </w:rPr>
        <w:t>: conservar, reducir deterioro y aditivos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Física</w:t>
      </w:r>
      <w:r>
        <w:rPr>
          <w:rFonts w:ascii="Cambria" w:hAnsi="Cambria" w:cs="Cambria" w:eastAsia="Cambria"/>
          <w:sz w:val="22"/>
        </w:rPr>
        <w:t>: luz, suciedad, golpes (opacos evitan fotodegradación de la riboflavina)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Química</w:t>
      </w:r>
      <w:r>
        <w:rPr>
          <w:rFonts w:ascii="Cambria" w:hAnsi="Cambria" w:cs="Cambria" w:eastAsia="Cambria"/>
          <w:sz w:val="22"/>
        </w:rPr>
        <w:t>: barrera a gases (oxígeno, vapor de agua) o intercambio selectivo, evita oxidación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Microbiológica</w:t>
      </w:r>
      <w:r>
        <w:rPr>
          <w:rFonts w:ascii="Cambria" w:hAnsi="Cambria" w:cs="Cambria" w:eastAsia="Cambria"/>
          <w:sz w:val="22"/>
        </w:rPr>
        <w:t>: frena contaminación cruzada y paso de patógenos y alterantes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Técnicas de envasado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Tradicional</w:t>
      </w:r>
      <w:r>
        <w:rPr>
          <w:rFonts w:ascii="Cambria" w:hAnsi="Cambria" w:cs="Cambria" w:eastAsia="Cambria"/>
          <w:sz w:val="22"/>
        </w:rPr>
        <w:t>: aislamiento físico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Vacío</w:t>
      </w:r>
      <w:r>
        <w:rPr>
          <w:rFonts w:ascii="Cambria" w:hAnsi="Cambria" w:cs="Cambria" w:eastAsia="Cambria"/>
          <w:sz w:val="22"/>
        </w:rPr>
        <w:t>: extrae el aire, frena aerobios y oxidación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Atmósferas controladas (AC)</w:t>
      </w:r>
      <w:r>
        <w:rPr>
          <w:rFonts w:ascii="Cambria" w:hAnsi="Cambria" w:cs="Cambria" w:eastAsia="Cambria"/>
          <w:sz w:val="22"/>
        </w:rPr>
        <w:t>: mezcla de gases (nitrógeno, CO2, oxígeno) monitorizada y ajustada de continuo, cámaras frigoríficas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Atmósferas modificadas (MAP)</w:t>
      </w:r>
      <w:r>
        <w:rPr>
          <w:rFonts w:ascii="Cambria" w:hAnsi="Cambria" w:cs="Cambria" w:eastAsia="Cambria"/>
          <w:sz w:val="22"/>
        </w:rPr>
        <w:t xml:space="preserve">: gas sustituido al sellar, composición evoluciona por respiración y permeabilidad, exige </w:t>
      </w:r>
      <w:r>
        <w:rPr>
          <w:rFonts w:ascii="Cambria" w:hAnsi="Cambria" w:cs="Cambria" w:eastAsia="Cambria"/>
          <w:b/>
          <w:sz w:val="22"/>
        </w:rPr>
        <w:t>cadena de frío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Vacío y MAP, las más extendidas para alimentos grasos y perecederos (enranciamiento)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Materiales</w:t>
      </w:r>
      <w:r>
        <w:rPr>
          <w:rFonts w:ascii="Cambria" w:hAnsi="Cambria" w:cs="Cambria" w:eastAsia="Cambria"/>
          <w:sz w:val="22"/>
        </w:rPr>
        <w:t xml:space="preserve"> (según alimento, temperatura, humedad, fotosensibilidad)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Papel y cartón</w:t>
      </w:r>
      <w:r>
        <w:rPr>
          <w:rFonts w:ascii="Cambria" w:hAnsi="Cambria" w:cs="Cambria" w:eastAsia="Cambria"/>
          <w:sz w:val="22"/>
        </w:rPr>
        <w:t>: envolturas, bolsas, cartón ondulado, cartoncillo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Vidrio</w:t>
      </w:r>
      <w:r>
        <w:rPr>
          <w:rFonts w:ascii="Cambria" w:hAnsi="Cambria" w:cs="Cambria" w:eastAsia="Cambria"/>
          <w:sz w:val="22"/>
        </w:rPr>
        <w:t>: inerte, higiénico, impermeable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Plásticos</w:t>
      </w:r>
      <w:r>
        <w:rPr>
          <w:rFonts w:ascii="Cambria" w:hAnsi="Cambria" w:cs="Cambria" w:eastAsia="Cambria"/>
          <w:sz w:val="22"/>
        </w:rPr>
        <w:t>: PET, PE, PP, PVC restringido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Metales</w:t>
      </w:r>
      <w:r>
        <w:rPr>
          <w:rFonts w:ascii="Cambria" w:hAnsi="Cambria" w:cs="Cambria" w:eastAsia="Cambria"/>
          <w:sz w:val="22"/>
        </w:rPr>
        <w:t>: hojalata, acero libre de estaño (TFS), aluminio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Otros: madera, textiles, cerámica, caucho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Envases activos</w:t>
      </w:r>
      <w:r>
        <w:rPr>
          <w:rFonts w:ascii="Cambria" w:hAnsi="Cambria" w:cs="Cambria" w:eastAsia="Cambria"/>
          <w:sz w:val="22"/>
        </w:rPr>
        <w:t>: absorbedores de oxígeno, reguladores de humedad, liberación de antioxidantes o antimicrobianos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Envases inteligentes</w:t>
      </w:r>
      <w:r>
        <w:rPr>
          <w:rFonts w:ascii="Cambria" w:hAnsi="Cambria" w:cs="Cambria" w:eastAsia="Cambria"/>
          <w:sz w:val="22"/>
        </w:rPr>
        <w:t>: indicadores tiempo-temperatura (TTI), sensores de frescura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LEGISLACIÓN Y NORMALIZACIÓN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 UE: eliminar divergencias entre Estados sobre MCA, armonizar polímeros y metales, pautas sobre contenido efectivo y residuos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Legislación específica de materiales en contacto con los alimentos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MCA</w:t>
      </w:r>
      <w:r>
        <w:rPr>
          <w:rFonts w:ascii="Cambria" w:hAnsi="Cambria" w:cs="Cambria" w:eastAsia="Cambria"/>
          <w:sz w:val="22"/>
        </w:rPr>
        <w:t>: materiales en contacto directo o indirecto con alimentos (fabricación, transformación, transporte, comercialización), incluidos envases de bebida y redes de agua potable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Deben ser </w:t>
      </w:r>
      <w:r>
        <w:rPr>
          <w:rFonts w:ascii="Cambria" w:hAnsi="Cambria" w:cs="Cambria" w:eastAsia="Cambria"/>
          <w:b/>
          <w:sz w:val="22"/>
        </w:rPr>
        <w:t>inertes</w:t>
      </w:r>
      <w:r>
        <w:rPr>
          <w:rFonts w:ascii="Cambria" w:hAnsi="Cambria" w:cs="Cambria" w:eastAsia="Cambria"/>
          <w:sz w:val="22"/>
        </w:rPr>
        <w:t>: sin migración que dañe la salud, altere la composición o las características organolépticas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1935/2004</w:t>
      </w:r>
      <w:r>
        <w:rPr>
          <w:rFonts w:ascii="Cambria" w:hAnsi="Cambria" w:cs="Cambria" w:eastAsia="Cambria"/>
          <w:sz w:val="22"/>
        </w:rPr>
        <w:t xml:space="preserve">, marco de MCA (derogó Directivas 80/590/CEE y 89/109/CEE), modificado por </w:t>
      </w:r>
      <w:r>
        <w:rPr>
          <w:rFonts w:ascii="Cambria" w:hAnsi="Cambria" w:cs="Cambria" w:eastAsia="Cambria"/>
          <w:b/>
          <w:sz w:val="22"/>
        </w:rPr>
        <w:t>Reglamento (UE) 2019/1381</w:t>
      </w:r>
      <w:r>
        <w:rPr>
          <w:rFonts w:ascii="Cambria" w:hAnsi="Cambria" w:cs="Cambria" w:eastAsia="Cambria"/>
          <w:sz w:val="22"/>
        </w:rPr>
        <w:t xml:space="preserve"> (transparencia y sostenibilidad del riesgo)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3</w:t>
      </w:r>
      <w:r>
        <w:rPr>
          <w:rFonts w:ascii="Cambria" w:hAnsi="Cambria" w:cs="Cambria" w:eastAsia="Cambria"/>
          <w:sz w:val="22"/>
        </w:rPr>
        <w:t>: requisitos generales de inocuidad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4</w:t>
      </w:r>
      <w:r>
        <w:rPr>
          <w:rFonts w:ascii="Cambria" w:hAnsi="Cambria" w:cs="Cambria" w:eastAsia="Cambria"/>
          <w:sz w:val="22"/>
        </w:rPr>
        <w:t>: envases activos e inteligentes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15</w:t>
      </w:r>
      <w:r>
        <w:rPr>
          <w:rFonts w:ascii="Cambria" w:hAnsi="Cambria" w:cs="Cambria" w:eastAsia="Cambria"/>
          <w:sz w:val="22"/>
        </w:rPr>
        <w:t>: etiquetado (símbolo "copa y tenedor")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16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Declaración de Conformidad</w:t>
      </w:r>
      <w:r>
        <w:rPr>
          <w:rFonts w:ascii="Cambria" w:hAnsi="Cambria" w:cs="Cambria" w:eastAsia="Cambria"/>
          <w:sz w:val="22"/>
        </w:rPr>
        <w:t xml:space="preserve"> (DoC) y documentación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17</w:t>
      </w:r>
      <w:r>
        <w:rPr>
          <w:rFonts w:ascii="Cambria" w:hAnsi="Cambria" w:cs="Cambria" w:eastAsia="Cambria"/>
          <w:sz w:val="22"/>
        </w:rPr>
        <w:t>: trazabilidad obligatoria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Buenas Prácticas de Fabricación</w:t>
      </w:r>
      <w:r>
        <w:rPr>
          <w:rFonts w:ascii="Cambria" w:hAnsi="Cambria" w:cs="Cambria" w:eastAsia="Cambria"/>
          <w:sz w:val="22"/>
        </w:rPr>
        <w:t>: Reglamento (CE) 2023/2006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EFSA</w:t>
      </w:r>
      <w:r>
        <w:rPr>
          <w:rFonts w:ascii="Cambria" w:hAnsi="Cambria" w:cs="Cambria" w:eastAsia="Cambria"/>
          <w:sz w:val="22"/>
        </w:rPr>
        <w:t>: evaluación científica del riesgo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Fuera del ámbito: recubrimientos comestibles. Dentro: cortezas de queso, embutidos, ceras de fruta no consumibles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Normalización en España: </w:t>
      </w: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>, Comités Técnicos (CTN), dimensiones, capacidades y ensayos de migración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Legislación europea sobre residuos de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2025/40 (PPWR)</w:t>
      </w:r>
      <w:r>
        <w:rPr>
          <w:rFonts w:ascii="Cambria" w:hAnsi="Cambria" w:cs="Cambria" w:eastAsia="Cambria"/>
          <w:sz w:val="22"/>
        </w:rPr>
        <w:t xml:space="preserve">, deroga la Directiva 94/62/CE, aplicación </w:t>
      </w:r>
      <w:r>
        <w:rPr>
          <w:rFonts w:ascii="Cambria" w:hAnsi="Cambria" w:cs="Cambria" w:eastAsia="Cambria"/>
          <w:b/>
          <w:sz w:val="22"/>
        </w:rPr>
        <w:t>directa y uniforme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Reciclabilidad</w:t>
      </w:r>
      <w:r>
        <w:rPr>
          <w:rFonts w:ascii="Cambria" w:hAnsi="Cambria" w:cs="Cambria" w:eastAsia="Cambria"/>
          <w:sz w:val="22"/>
        </w:rPr>
        <w:t xml:space="preserve">: desde el </w:t>
      </w:r>
      <w:r>
        <w:rPr>
          <w:rFonts w:ascii="Cambria" w:hAnsi="Cambria" w:cs="Cambria" w:eastAsia="Cambria"/>
          <w:b/>
          <w:sz w:val="22"/>
        </w:rPr>
        <w:t>1 de enero de 2030</w:t>
      </w:r>
      <w:r>
        <w:rPr>
          <w:rFonts w:ascii="Cambria" w:hAnsi="Cambria" w:cs="Cambria" w:eastAsia="Cambria"/>
          <w:sz w:val="22"/>
        </w:rPr>
        <w:t xml:space="preserve"> todos los envases reciclables, grados A, B o 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Prohibidos envases superfluos: dobles paredes, falsos fondos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Reducción de residuos de envases (base 2018): </w:t>
      </w:r>
      <w:r>
        <w:rPr>
          <w:rFonts w:ascii="Cambria" w:hAnsi="Cambria" w:cs="Cambria" w:eastAsia="Cambria"/>
          <w:b/>
          <w:sz w:val="22"/>
        </w:rPr>
        <w:t>5 % en 2030, 10 % en 2035, 15 % en 2040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1055/2022</w:t>
      </w:r>
      <w:r>
        <w:rPr>
          <w:rFonts w:ascii="Cambria" w:hAnsi="Cambria" w:cs="Cambria" w:eastAsia="Cambria"/>
          <w:sz w:val="22"/>
        </w:rPr>
        <w:t xml:space="preserve">, norma de cabecera en España (derogó Ley 11/1997 y RD 782/1998), en el marco de la </w:t>
      </w:r>
      <w:r>
        <w:rPr>
          <w:rFonts w:ascii="Cambria" w:hAnsi="Cambria" w:cs="Cambria" w:eastAsia="Cambria"/>
          <w:b/>
          <w:sz w:val="22"/>
        </w:rPr>
        <w:t>Ley 7/2022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Responsabilidad Ampliada del Productor (RAP)</w:t>
      </w:r>
      <w:r>
        <w:rPr>
          <w:rFonts w:ascii="Cambria" w:hAnsi="Cambria" w:cs="Cambria" w:eastAsia="Cambria"/>
          <w:sz w:val="22"/>
        </w:rPr>
        <w:t>: coste total de gestión, también envases comerciales e industriales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Registro de Productores de Producto</w:t>
      </w:r>
      <w:r>
        <w:rPr>
          <w:rFonts w:ascii="Cambria" w:hAnsi="Cambria" w:cs="Cambria" w:eastAsia="Cambria"/>
          <w:sz w:val="22"/>
        </w:rPr>
        <w:t>: toneladas puestas en el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Granel</w:t>
      </w:r>
      <w:r>
        <w:rPr>
          <w:rFonts w:ascii="Cambria" w:hAnsi="Cambria" w:cs="Cambria" w:eastAsia="Cambria"/>
          <w:sz w:val="22"/>
        </w:rPr>
        <w:t>: frutas y hortalizas frescas enteras a granel (salvo lotes de 1,5 kg o más, variedades protegidas o calidad diferenciada, riesgo de deterioro)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Comercios de </w:t>
      </w:r>
      <w:r>
        <w:rPr>
          <w:rFonts w:ascii="Cambria" w:hAnsi="Cambria" w:cs="Cambria" w:eastAsia="Cambria"/>
          <w:b/>
          <w:sz w:val="22"/>
        </w:rPr>
        <w:t>400 m² o más</w:t>
      </w:r>
      <w:r>
        <w:rPr>
          <w:rFonts w:ascii="Cambria" w:hAnsi="Cambria" w:cs="Cambria" w:eastAsia="Cambria"/>
          <w:sz w:val="22"/>
        </w:rPr>
        <w:t xml:space="preserve">: al menos </w:t>
      </w:r>
      <w:r>
        <w:rPr>
          <w:rFonts w:ascii="Cambria" w:hAnsi="Cambria" w:cs="Cambria" w:eastAsia="Cambria"/>
          <w:b/>
          <w:sz w:val="22"/>
        </w:rPr>
        <w:t>20 %</w:t>
      </w:r>
      <w:r>
        <w:rPr>
          <w:rFonts w:ascii="Cambria" w:hAnsi="Cambria" w:cs="Cambria" w:eastAsia="Cambria"/>
          <w:sz w:val="22"/>
        </w:rPr>
        <w:t xml:space="preserve"> de la sala de ventas sin embalaje primario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Adaptación progresiva al PPWR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SCRAP</w:t>
      </w:r>
      <w:r>
        <w:rPr>
          <w:rFonts w:ascii="Cambria" w:hAnsi="Cambria" w:cs="Cambria" w:eastAsia="Cambria"/>
          <w:sz w:val="22"/>
        </w:rPr>
        <w:t>: ECOEMBES (ligeros y papel/cartón), ECOVIDRIO, CICLOPLAST, industriales IMPLICA y VALORORA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Modelos: Sistema Dual (Alemania), ARA (Austria), Citéo (Francia), Fost Plus (Bélgica)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Plásticos de un solo uso</w:t>
      </w:r>
      <w:r>
        <w:rPr>
          <w:rFonts w:ascii="Cambria" w:hAnsi="Cambria" w:cs="Cambria" w:eastAsia="Cambria"/>
          <w:sz w:val="22"/>
        </w:rPr>
        <w:t>: Directiva (UE) 2019/904 integrada en Ley 7/2022 y RD 1055/2022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Prohíbe pajitas, cubiertos, bastoncillos, recipientes de poliestireno expandido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Impuesto especial sobre envases de plástico no reutilizables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 Circular 2030</w:t>
      </w:r>
      <w:r>
        <w:rPr>
          <w:rFonts w:ascii="Cambria" w:hAnsi="Cambria" w:cs="Cambria" w:eastAsia="Cambria"/>
          <w:sz w:val="22"/>
        </w:rPr>
        <w:t>, metas 2030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30 %</w:t>
      </w:r>
      <w:r>
        <w:rPr>
          <w:rFonts w:ascii="Cambria" w:hAnsi="Cambria" w:cs="Cambria" w:eastAsia="Cambria"/>
          <w:sz w:val="22"/>
        </w:rPr>
        <w:t xml:space="preserve"> menos consumo de materiales respecto al PIB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15 %</w:t>
      </w:r>
      <w:r>
        <w:rPr>
          <w:rFonts w:ascii="Cambria" w:hAnsi="Cambria" w:cs="Cambria" w:eastAsia="Cambria"/>
          <w:sz w:val="22"/>
        </w:rPr>
        <w:t xml:space="preserve"> menos residuos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Desperdicio alimentario: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menos en hogares y minoristas, </w:t>
      </w:r>
      <w:r>
        <w:rPr>
          <w:rFonts w:ascii="Cambria" w:hAnsi="Cambria" w:cs="Cambria" w:eastAsia="Cambria"/>
          <w:b/>
          <w:sz w:val="22"/>
        </w:rPr>
        <w:t>20 %</w:t>
      </w:r>
      <w:r>
        <w:rPr>
          <w:rFonts w:ascii="Cambria" w:hAnsi="Cambria" w:cs="Cambria" w:eastAsia="Cambria"/>
          <w:sz w:val="22"/>
        </w:rPr>
        <w:t xml:space="preserve"> en producción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 xml:space="preserve"> de reutilización en residuos municipales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Otras disposiciones legislativas sobre normalización de envases y embalajes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2007/45/CE</w:t>
      </w:r>
      <w:r>
        <w:rPr>
          <w:rFonts w:ascii="Cambria" w:hAnsi="Cambria" w:cs="Cambria" w:eastAsia="Cambria"/>
          <w:sz w:val="22"/>
        </w:rPr>
        <w:t>: libera tamaños nominales, quedan gamas obligatorias (vinos y espirituosas)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1272/2008 (CLP)</w:t>
      </w:r>
      <w:r>
        <w:rPr>
          <w:rFonts w:ascii="Cambria" w:hAnsi="Cambria" w:cs="Cambria" w:eastAsia="Cambria"/>
          <w:sz w:val="22"/>
        </w:rPr>
        <w:t>: clasificación, etiquetado y envasado de sustancias y mezclas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Contenido efectivo</w:t>
      </w:r>
      <w:r>
        <w:rPr>
          <w:rFonts w:ascii="Cambria" w:hAnsi="Cambria" w:cs="Cambria" w:eastAsia="Cambria"/>
          <w:sz w:val="22"/>
        </w:rPr>
        <w:t xml:space="preserve">: cantidades nominales y marcado </w:t>
      </w:r>
      <w:r>
        <w:rPr>
          <w:rFonts w:ascii="Cambria" w:hAnsi="Cambria" w:cs="Cambria" w:eastAsia="Cambria"/>
          <w:b/>
          <w:sz w:val="22"/>
        </w:rPr>
        <w:t>"e"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>: código de envasado y transporte de frutas y hortalizas tropicales frescas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INTERACCIONES PRODUCTO-ENVASE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Código Alimentario Español</w:t>
      </w:r>
      <w:r>
        <w:rPr>
          <w:rFonts w:ascii="Cambria" w:hAnsi="Cambria" w:cs="Cambria" w:eastAsia="Cambria"/>
          <w:sz w:val="22"/>
        </w:rPr>
        <w:t>: materiales con listas positivas, impermeables y herméticos, sin absorber producto, sin trasladar sustancias extrañas, dentro de límites de migración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Migración</w:t>
      </w:r>
      <w:r>
        <w:rPr>
          <w:rFonts w:ascii="Cambria" w:hAnsi="Cambria" w:cs="Cambria" w:eastAsia="Cambria"/>
          <w:sz w:val="22"/>
        </w:rPr>
        <w:t>: transferencia de sustancias del envase al producto, riesgo para la salud o alteración inaceptable, con límites máximos comunitarios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Metales</w:t>
      </w:r>
      <w:r>
        <w:rPr>
          <w:rFonts w:ascii="Cambria" w:hAnsi="Cambria" w:cs="Cambria" w:eastAsia="Cambria"/>
          <w:sz w:val="22"/>
        </w:rPr>
        <w:t>: hojalata, TFS, aluminio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Corrosión ácida con hidrógeno (abombamiento), cesión de hierro y estaño (color, sabor metálico)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Prevención: barnices epoxídicos o poliméricos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Vidrio</w:t>
      </w:r>
      <w:r>
        <w:rPr>
          <w:rFonts w:ascii="Cambria" w:hAnsi="Cambria" w:cs="Cambria" w:eastAsia="Cambria"/>
          <w:sz w:val="22"/>
        </w:rPr>
        <w:t>: inerte, puede ceder iones de fundentes colorantes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Plásticos</w:t>
      </w:r>
      <w:r>
        <w:rPr>
          <w:rFonts w:ascii="Cambria" w:hAnsi="Cambria" w:cs="Cambria" w:eastAsia="Cambria"/>
          <w:sz w:val="22"/>
        </w:rPr>
        <w:t>: migración de monómeros, aditivos (plastificantes, antioxidantes), oligómeros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10/2011</w:t>
      </w:r>
      <w:r>
        <w:rPr>
          <w:rFonts w:ascii="Cambria" w:hAnsi="Cambria" w:cs="Cambria" w:eastAsia="Cambria"/>
          <w:sz w:val="22"/>
        </w:rPr>
        <w:t xml:space="preserve">: lista positiva, </w:t>
      </w:r>
      <w:r>
        <w:rPr>
          <w:rFonts w:ascii="Cambria" w:hAnsi="Cambria" w:cs="Cambria" w:eastAsia="Cambria"/>
          <w:b/>
          <w:sz w:val="22"/>
        </w:rPr>
        <w:t>LMG</w:t>
      </w:r>
      <w:r>
        <w:rPr>
          <w:rFonts w:ascii="Cambria" w:hAnsi="Cambria" w:cs="Cambria" w:eastAsia="Cambria"/>
          <w:sz w:val="22"/>
        </w:rPr>
        <w:t xml:space="preserve"> (migración global), </w:t>
      </w:r>
      <w:r>
        <w:rPr>
          <w:rFonts w:ascii="Cambria" w:hAnsi="Cambria" w:cs="Cambria" w:eastAsia="Cambria"/>
          <w:b/>
          <w:sz w:val="22"/>
        </w:rPr>
        <w:t>LME</w:t>
      </w:r>
      <w:r>
        <w:rPr>
          <w:rFonts w:ascii="Cambria" w:hAnsi="Cambria" w:cs="Cambria" w:eastAsia="Cambria"/>
          <w:sz w:val="22"/>
        </w:rPr>
        <w:t xml:space="preserve"> (migración específica, con simulantes alimentarios)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Reciclado: </w:t>
      </w:r>
      <w:r>
        <w:rPr>
          <w:rFonts w:ascii="Cambria" w:hAnsi="Cambria" w:cs="Cambria" w:eastAsia="Cambria"/>
          <w:b/>
          <w:sz w:val="22"/>
        </w:rPr>
        <w:t>Reglamento (UE) 2022/1616</w:t>
      </w:r>
      <w:r>
        <w:rPr>
          <w:rFonts w:ascii="Cambria" w:hAnsi="Cambria" w:cs="Cambria" w:eastAsia="Cambria"/>
          <w:sz w:val="22"/>
        </w:rPr>
        <w:t xml:space="preserve"> (derogó Reglamento (CE) 282/2008), procesos de descontaminación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Derivados epoxídicos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(CE) 1895/2005</w:t>
      </w:r>
      <w:r>
        <w:rPr>
          <w:rFonts w:ascii="Cambria" w:hAnsi="Cambria" w:cs="Cambria" w:eastAsia="Cambria"/>
          <w:sz w:val="22"/>
        </w:rPr>
        <w:t>, prohibidos BFDGE y NOGE, BADGE y derivados hidratados autorizados con límites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Cerámica</w:t>
      </w:r>
      <w:r>
        <w:rPr>
          <w:rFonts w:ascii="Cambria" w:hAnsi="Cambria" w:cs="Cambria" w:eastAsia="Cambria"/>
          <w:sz w:val="22"/>
        </w:rPr>
        <w:t>: cesión de plomo y cadmio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84/500/CEE</w:t>
      </w:r>
      <w:r>
        <w:rPr>
          <w:rFonts w:ascii="Cambria" w:hAnsi="Cambria" w:cs="Cambria" w:eastAsia="Cambria"/>
          <w:sz w:val="22"/>
        </w:rPr>
        <w:t>: cantidades máximas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891/2006</w:t>
      </w:r>
      <w:r>
        <w:rPr>
          <w:rFonts w:ascii="Cambria" w:hAnsi="Cambria" w:cs="Cambria" w:eastAsia="Cambria"/>
          <w:sz w:val="22"/>
        </w:rPr>
        <w:t>: método, límites y declaración de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Madera, cartón y celulosa</w:t>
      </w:r>
      <w:r>
        <w:rPr>
          <w:rFonts w:ascii="Cambria" w:hAnsi="Cambria" w:cs="Cambria" w:eastAsia="Cambria"/>
          <w:sz w:val="22"/>
        </w:rPr>
        <w:t>: riesgo en fungicidas y tratamientos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Celulosa regenerada: </w:t>
      </w:r>
      <w:r>
        <w:rPr>
          <w:rFonts w:ascii="Cambria" w:hAnsi="Cambria" w:cs="Cambria" w:eastAsia="Cambria"/>
          <w:b/>
          <w:sz w:val="22"/>
        </w:rPr>
        <w:t>Directiva 2007/42/CE</w:t>
      </w:r>
      <w:r>
        <w:rPr>
          <w:rFonts w:ascii="Cambria" w:hAnsi="Cambria" w:cs="Cambria" w:eastAsia="Cambria"/>
          <w:sz w:val="22"/>
        </w:rPr>
        <w:t>, caras impresas sin contacto con el alimento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1413/1994</w:t>
      </w:r>
      <w:r>
        <w:rPr>
          <w:rFonts w:ascii="Cambria" w:hAnsi="Cambria" w:cs="Cambria" w:eastAsia="Cambria"/>
          <w:sz w:val="22"/>
        </w:rPr>
        <w:t xml:space="preserve">, modificado por </w:t>
      </w:r>
      <w:r>
        <w:rPr>
          <w:rFonts w:ascii="Cambria" w:hAnsi="Cambria" w:cs="Cambria" w:eastAsia="Cambria"/>
          <w:b/>
          <w:sz w:val="22"/>
        </w:rPr>
        <w:t>RD 691/2005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Caucho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Directiva 93/11/CEE</w:t>
      </w:r>
      <w:r>
        <w:rPr>
          <w:rFonts w:ascii="Cambria" w:hAnsi="Cambria" w:cs="Cambria" w:eastAsia="Cambria"/>
          <w:sz w:val="22"/>
        </w:rPr>
        <w:t xml:space="preserve">, N-nitrosaminas en tetinas y chupetes, transpuesta por </w:t>
      </w:r>
      <w:r>
        <w:rPr>
          <w:rFonts w:ascii="Cambria" w:hAnsi="Cambria" w:cs="Cambria" w:eastAsia="Cambria"/>
          <w:b/>
          <w:sz w:val="22"/>
        </w:rPr>
        <w:t>RD 1184/1994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ENSAYOS Y DEFECTOS. PROCEDIMIENTOS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 más allá de la migración: características intrínsecas y extrínsecas, procedimientos físico-químicos y mecánicos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Envases flexibles</w:t>
      </w:r>
      <w:r>
        <w:rPr>
          <w:rFonts w:ascii="Cambria" w:hAnsi="Cambria" w:cs="Cambria" w:eastAsia="Cambria"/>
          <w:sz w:val="22"/>
        </w:rPr>
        <w:t xml:space="preserve"> (papel, cartón, plástico)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Barrera: absorción, porosidad, impermeabilidad (agua, vapor, gases, aceites), compatibilidad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Mecánicos: pinchazo, rasgado, tracción, impacto, flexión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Ópticos: impresión, anti-fog, brillo, abrasión, envejecimiento, desteñido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Envases metálicos</w:t>
      </w:r>
      <w:r>
        <w:rPr>
          <w:rFonts w:ascii="Cambria" w:hAnsi="Cambria" w:cs="Cambria" w:eastAsia="Cambria"/>
          <w:sz w:val="22"/>
        </w:rPr>
        <w:t>: dureza, tracción, compresión, torsión, geometría, integridad del barniz, corrosión, porosidad, hermeticidad de soldadura y doble cierre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Envases de vidrio</w:t>
      </w:r>
      <w:r>
        <w:rPr>
          <w:rFonts w:ascii="Cambria" w:hAnsi="Cambria" w:cs="Cambria" w:eastAsia="Cambria"/>
          <w:sz w:val="22"/>
        </w:rPr>
        <w:t>: hermeticidad de cierres, choque térmico y mecánico, inercia frente a óxidos, densidad, índice de refracción, microdureza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Defectos críticos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Cesión de </w:t>
      </w:r>
      <w:r>
        <w:rPr>
          <w:rFonts w:ascii="Cambria" w:hAnsi="Cambria" w:cs="Cambria" w:eastAsia="Cambria"/>
          <w:b/>
          <w:sz w:val="22"/>
        </w:rPr>
        <w:t>metales pesados</w:t>
      </w:r>
      <w:r>
        <w:rPr>
          <w:rFonts w:ascii="Cambria" w:hAnsi="Cambria" w:cs="Cambria" w:eastAsia="Cambria"/>
          <w:sz w:val="22"/>
        </w:rPr>
        <w:t xml:space="preserve"> (plomo, cadmio) o sílice en vidrio y cerámica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Madera y papel</w:t>
      </w:r>
      <w:r>
        <w:rPr>
          <w:rFonts w:ascii="Cambria" w:hAnsi="Cambria" w:cs="Cambria" w:eastAsia="Cambria"/>
          <w:sz w:val="22"/>
        </w:rPr>
        <w:t>: parasitadas, nudos, fungicidas no autorizados, cloruro de magnesio, olores, humedad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Plásticos</w:t>
      </w:r>
      <w:r>
        <w:rPr>
          <w:rFonts w:ascii="Cambria" w:hAnsi="Cambria" w:cs="Cambria" w:eastAsia="Cambria"/>
          <w:sz w:val="22"/>
        </w:rPr>
        <w:t>: color no uniforme, sellado defectuoso, permeabilidad excesiva, acidez y saponificación en aceites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Metálicos</w:t>
      </w:r>
      <w:r>
        <w:rPr>
          <w:rFonts w:ascii="Cambria" w:hAnsi="Cambria" w:cs="Cambria" w:eastAsia="Cambria"/>
          <w:sz w:val="22"/>
        </w:rPr>
        <w:t>: poros, fisuras, grietas de enfriamiento, pestañado o doble cierre defectuoso, corrosión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Etiquetado e impresión</w:t>
      </w:r>
      <w:r>
        <w:rPr>
          <w:rFonts w:ascii="Cambria" w:hAnsi="Cambria" w:cs="Cambria" w:eastAsia="Cambria"/>
          <w:sz w:val="22"/>
        </w:rPr>
        <w:t>: impresión interna sin barrera, menciones engañosas, desviación del contenido neto, capacidades nominales no autorizadas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IMPLICACIONES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Envases pasan a residuos sólidos urbanos, tensión entre </w:t>
      </w:r>
      <w:r>
        <w:rPr>
          <w:rFonts w:ascii="Cambria" w:hAnsi="Cambria" w:cs="Cambria" w:eastAsia="Cambria"/>
          <w:b/>
          <w:sz w:val="22"/>
        </w:rPr>
        <w:t>libre comercio y medio ambiente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Decreto Töpfer alemán (1991)</w:t>
      </w:r>
      <w:r>
        <w:rPr>
          <w:rFonts w:ascii="Cambria" w:hAnsi="Cambria" w:cs="Cambria" w:eastAsia="Cambria"/>
          <w:sz w:val="22"/>
        </w:rPr>
        <w:t xml:space="preserve">: efecto dominó (Francia, Austria, Bélgica), armonización con la Directiva 94/62/CE, hoy </w:t>
      </w:r>
      <w:r>
        <w:rPr>
          <w:rFonts w:ascii="Cambria" w:hAnsi="Cambria" w:cs="Cambria" w:eastAsia="Cambria"/>
          <w:b/>
          <w:sz w:val="22"/>
        </w:rPr>
        <w:t>PPWR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Impacto en competitividad y costes logísticos, evitar barreras encubiertas y deslocalizaciones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RD 1055/2022 y PPWR: </w:t>
      </w:r>
      <w:r>
        <w:rPr>
          <w:rFonts w:ascii="Cambria" w:hAnsi="Cambria" w:cs="Cambria" w:eastAsia="Cambria"/>
          <w:b/>
          <w:sz w:val="22"/>
        </w:rPr>
        <w:t>RAP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SCRAP</w:t>
      </w:r>
      <w:r>
        <w:rPr>
          <w:rFonts w:ascii="Cambria" w:hAnsi="Cambria" w:cs="Cambria" w:eastAsia="Cambria"/>
          <w:sz w:val="22"/>
        </w:rPr>
        <w:t>, definiciones y criterios homogéneos de reutilización y reciclabilidad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Economía circular: menos vertedero, reciclado de calidad, menos GEI y materias primas vírgenes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Ecodiseño: compostables o biodegradables (</w:t>
      </w:r>
      <w:r>
        <w:rPr>
          <w:rFonts w:ascii="Cambria" w:hAnsi="Cambria" w:cs="Cambria" w:eastAsia="Cambria"/>
          <w:b/>
          <w:sz w:val="22"/>
        </w:rPr>
        <w:t>UNE-EN 13432</w:t>
      </w:r>
      <w:r>
        <w:rPr>
          <w:rFonts w:ascii="Cambria" w:hAnsi="Cambria" w:cs="Cambria" w:eastAsia="Cambria"/>
          <w:sz w:val="22"/>
        </w:rPr>
        <w:t>), menos sobreenvasado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Plásticos oxodegradables</w:t>
      </w:r>
      <w:r>
        <w:rPr>
          <w:rFonts w:ascii="Cambria" w:hAnsi="Cambria" w:cs="Cambria" w:eastAsia="Cambria"/>
          <w:sz w:val="22"/>
        </w:rPr>
        <w:t xml:space="preserve"> prohibidos (Directiva SUP, Ley 7/2022): microplásticos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Tres pilares: </w:t>
      </w:r>
      <w:r>
        <w:rPr>
          <w:rFonts w:ascii="Cambria" w:hAnsi="Cambria" w:cs="Cambria" w:eastAsia="Cambria"/>
          <w:b/>
          <w:sz w:val="22"/>
        </w:rPr>
        <w:t>protección</w:t>
      </w:r>
      <w:r>
        <w:rPr>
          <w:rFonts w:ascii="Cambria" w:hAnsi="Cambria" w:cs="Cambria" w:eastAsia="Cambria"/>
          <w:sz w:val="22"/>
        </w:rPr>
        <w:t xml:space="preserve"> del alimento, </w:t>
      </w:r>
      <w:r>
        <w:rPr>
          <w:rFonts w:ascii="Cambria" w:hAnsi="Cambria" w:cs="Cambria" w:eastAsia="Cambria"/>
          <w:b/>
          <w:sz w:val="22"/>
        </w:rPr>
        <w:t>inocuidad</w:t>
      </w:r>
      <w:r>
        <w:rPr>
          <w:rFonts w:ascii="Cambria" w:hAnsi="Cambria" w:cs="Cambria" w:eastAsia="Cambria"/>
          <w:sz w:val="22"/>
        </w:rPr>
        <w:t xml:space="preserve"> (MCA: Reglamentos (CE) 1935/2004 y (UE) 10/2011), </w:t>
      </w:r>
      <w:r>
        <w:rPr>
          <w:rFonts w:ascii="Cambria" w:hAnsi="Cambria" w:cs="Cambria" w:eastAsia="Cambria"/>
          <w:b/>
          <w:sz w:val="22"/>
        </w:rPr>
        <w:t>gestión ambiental</w:t>
      </w:r>
      <w:r>
        <w:rPr>
          <w:rFonts w:ascii="Cambria" w:hAnsi="Cambria" w:cs="Cambria" w:eastAsia="Cambria"/>
          <w:sz w:val="22"/>
        </w:rPr>
        <w:t xml:space="preserve"> y economía circular (PPWR, RD 1055/2022, Ley 7/2022)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Tendencia a </w:t>
      </w:r>
      <w:r>
        <w:rPr>
          <w:rFonts w:ascii="Cambria" w:hAnsi="Cambria" w:cs="Cambria" w:eastAsia="Cambria"/>
          <w:b/>
          <w:sz w:val="22"/>
        </w:rPr>
        <w:t>Reglamentos</w:t>
      </w:r>
      <w:r>
        <w:rPr>
          <w:rFonts w:ascii="Cambria" w:hAnsi="Cambria" w:cs="Cambria" w:eastAsia="Cambria"/>
          <w:sz w:val="22"/>
        </w:rPr>
        <w:t xml:space="preserve"> de aplicación directa: armonización uniforme en 27 Estados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SOIVRE: doble marco, seguridad envase-alimento (MCA) y calidad comercial, etiquetado y sostenibilidad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52 – Envases y embalajes. Legislación y normalización. Materiales en contacto con los alimentos. Interacciones producto-envase. Ensayos y defectos. Procedimientos de control. Legislación europea sobre residuos de envases. Implicaciones comerciales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52 – Envases y embalajes. Legislación y normalización. Materiales en contacto con los alimentos. Interacciones producto-envase. Ensayos y defectos. Procedimientos de control. Legislación europea sobre residuos de envases. Implicaciones comerciales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